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宋体" w:eastAsia="黑体"/>
          <w:sz w:val="44"/>
          <w:szCs w:val="44"/>
        </w:rPr>
      </w:pPr>
      <w:r>
        <w:rPr>
          <w:rFonts w:ascii="宋体" w:eastAsia="黑体"/>
          <w:b w:val="0"/>
          <w:sz w:val="44"/>
          <w:szCs w:val="44"/>
        </w:rPr>
        <w:t>自治区粮食和物资储备局</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sz w:val="32"/>
          <w:szCs w:val="32"/>
        </w:rPr>
        <w:t>第一部分部门概况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“三公”</w:t>
      </w:r>
      <w:r>
        <w:rPr>
          <w:rFonts w:ascii="仿宋_GB2312" w:eastAsia="仿宋_GB2312"/>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“三公”</w:t>
      </w:r>
      <w:r>
        <w:rPr>
          <w:rFonts w:ascii="仿宋_GB2312" w:eastAsia="仿宋_GB2312"/>
          <w:b w:val="0"/>
          <w:sz w:val="32"/>
          <w:szCs w:val="32"/>
        </w:rPr>
        <w:t>经费支出决算表》</w:t>
      </w:r>
    </w:p>
    <w:p>
      <w:pPr>
        <w:keepNext w:val="0"/>
        <w:keepLines w:val="0"/>
        <w:pageBreakBefore w:val="0"/>
        <w:widowControl/>
        <w:kinsoku/>
        <w:wordWrap/>
        <w:overflowPunct/>
        <w:topLinePunct w:val="0"/>
        <w:autoSpaceDE/>
        <w:autoSpaceDN/>
        <w:bidi w:val="0"/>
        <w:adjustRightInd/>
        <w:snapToGrid/>
        <w:spacing w:line="580" w:lineRule="exact"/>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sz w:val="32"/>
          <w:szCs w:val="32"/>
          <w:lang w:val="en-US" w:eastAsia="zh-CN"/>
        </w:rPr>
        <w:t>自治区粮食和物资储备局是自治区发展和改革委员会管理的部门机构，为</w:t>
      </w:r>
      <w:r>
        <w:rPr>
          <w:rFonts w:hint="eastAsia" w:ascii="仿宋_GB2312" w:eastAsia="仿宋_GB2312"/>
          <w:sz w:val="32"/>
          <w:szCs w:val="32"/>
          <w:lang w:val="en-US" w:eastAsia="zh-CN"/>
        </w:rPr>
        <w:t>副厅级。自治区粮食和物资储备局贯彻落实党中央关于粮食和物资储备工作的方针政策和决策部署以及自治区党委工作要求，在履行职责过程中坚持和加强党对粮食和物资储备工作的集中统一领导。主要职责是:</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（一）贯彻执行国家、自治区粮食和物资储备的方针政策和法律法规，拟订粮食流通、地方储备粮油和物资储备管理的法规、规章草案和有关政策。</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二）研究提出地方储备粮油和物资储备规划、储备品种目录的建议;负责编制粮油、棉花、食糖、食盐等重要商品储备、轮换和投放计划;组织实施地方储备粮油、棉花、食糖、食盐等物资的储备、轮换和日常管理;承担中央级生活类救灾物资储备管理及自治区救灾物资采购和储备管理工作，落实有关动用计划和指令。</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三）负责自治区地方储备粮油行政管理工作，指导和协调地方储备粮油管理，研究提出地方储备粮油总体布局和收购、销售、轮换计划建议。承担粮食监测预警和应急责任，承担粮食安全省长责任制考核的日常工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（四）组织实施国家粮食和物资储备仓储管理有关技术标准和规范，指导粮食流通和物资储备承储单位安全生产工作。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（五）根据粮食和物资储备总体发展规划，统一负责储备基础设施建设和管理。拟订储备基础设施、粮食流通设施规划并组织实施，管理有关储备基础设施和粮食流通设施国家和自治区投资项目。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（六）负责对管理的政府储备、企业储备以及储备政策落实情况和粮食流通进行监督检查，负责粮食收购、储存、运输环节质量安全和原粮卫生的监督管理，组织实施粮食库存检查工作。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七）负责粮食流通行政管理、行业指导，起草粮食行业发展规划，组织实施国家粮食流通和物资储备有关标准、粮食质量标准和技术规范，会同有关部门拟订粮食流通和物资储备有关地方标准和技术规范并监督执行。承担粮食流通的对外合作与交流。</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（八）完成自治区党委、自治区人民政府交办的其他任务。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自治区粮食和物资储备局2024年度，实有人数753人，其中：在职人员330人，减少16人；离休人员4人，减少2人；退休人员419人，增加3人。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从部门决算单位构成看，自治区粮食和物资储备局部门决算包括：自治区粮食和物资储备局本级决算及所属单位决算。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自治区粮食和物资储备局本级下设</w:t>
      </w:r>
      <w:r>
        <w:rPr>
          <w:rFonts w:hint="eastAsia" w:ascii="仿宋_GB2312" w:eastAsia="仿宋_GB2312"/>
          <w:b w:val="0"/>
          <w:sz w:val="32"/>
          <w:szCs w:val="32"/>
          <w:lang w:val="en-US" w:eastAsia="zh-CN"/>
        </w:rPr>
        <w:t>11</w:t>
      </w:r>
      <w:r>
        <w:rPr>
          <w:rFonts w:ascii="仿宋_GB2312" w:eastAsia="仿宋_GB2312"/>
          <w:b w:val="0"/>
          <w:sz w:val="32"/>
          <w:szCs w:val="32"/>
        </w:rPr>
        <w:t>个</w:t>
      </w:r>
      <w:r>
        <w:rPr>
          <w:rFonts w:hint="eastAsia" w:ascii="仿宋_GB2312" w:eastAsia="仿宋_GB2312"/>
          <w:b w:val="0"/>
          <w:sz w:val="32"/>
          <w:szCs w:val="32"/>
          <w:lang w:eastAsia="zh-CN"/>
        </w:rPr>
        <w:t>处室</w:t>
      </w:r>
      <w:r>
        <w:rPr>
          <w:rFonts w:ascii="仿宋_GB2312" w:eastAsia="仿宋_GB2312"/>
          <w:b w:val="0"/>
          <w:sz w:val="32"/>
          <w:szCs w:val="32"/>
        </w:rPr>
        <w:t>，分别是：</w:t>
      </w:r>
      <w:r>
        <w:rPr>
          <w:rFonts w:ascii="仿宋_GB2312" w:eastAsia="仿宋_GB2312"/>
          <w:b w:val="0"/>
          <w:sz w:val="32"/>
          <w:szCs w:val="32"/>
          <w:lang w:val="en-US" w:eastAsia="zh-CN"/>
        </w:rPr>
        <w:t>办公室、政策法规</w:t>
      </w:r>
      <w:r>
        <w:rPr>
          <w:rFonts w:hint="eastAsia" w:ascii="仿宋_GB2312" w:eastAsia="仿宋_GB2312"/>
          <w:b w:val="0"/>
          <w:sz w:val="32"/>
          <w:szCs w:val="32"/>
          <w:lang w:val="en-US" w:eastAsia="zh-CN"/>
        </w:rPr>
        <w:t>处、规划建设处、粮食储备处、物资储备处、产业发展处、安全仓储与科技处、财务审计处、执法督查局、机关党委（人事处）、离退休干部工作处</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纳入自治区粮食和物资储备局2024年度部门决算编制范围的下属预算单位包括：</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b w:val="0"/>
          <w:sz w:val="32"/>
          <w:szCs w:val="32"/>
        </w:rPr>
      </w:pPr>
      <w:r>
        <w:rPr>
          <w:rFonts w:ascii="仿宋_GB2312" w:eastAsia="仿宋_GB2312"/>
          <w:b w:val="0"/>
          <w:sz w:val="32"/>
          <w:szCs w:val="32"/>
        </w:rPr>
        <w:t>新疆维吾尔自治区粮食和物资储备局（机关）</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新疆维吾尔自治区粮食和物资储备局机关服务中心</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新疆工业经济学校（新疆经济贸易技师学院）</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新疆维吾尔自治区军粮供应服务中心</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新疆维吾尔自治区粮油产品质量监督检验站</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新疆维吾尔自治区粮食和物资储备局信息中心</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80" w:lineRule="exact"/>
        <w:jc w:val="both"/>
        <w:textAlignment w:val="auto"/>
        <w:rPr>
          <w:rFonts w:ascii="仿宋_GB2312" w:eastAsia="仿宋_GB2312"/>
          <w:sz w:val="32"/>
          <w:szCs w:val="32"/>
        </w:rPr>
      </w:pPr>
      <w:r>
        <w:rPr>
          <w:rFonts w:ascii="仿宋_GB2312" w:eastAsia="仿宋_GB2312"/>
          <w:b w:val="0"/>
          <w:sz w:val="32"/>
          <w:szCs w:val="32"/>
        </w:rPr>
        <w:t>新疆维吾尔自治区救灾物资储备服务中心（乌鲁木齐中央级救灾物资储备库)</w:t>
      </w:r>
    </w:p>
    <w:p>
      <w:pPr>
        <w:keepNext w:val="0"/>
        <w:keepLines w:val="0"/>
        <w:pageBreakBefore w:val="0"/>
        <w:widowControl/>
        <w:kinsoku/>
        <w:wordWrap/>
        <w:overflowPunct/>
        <w:topLinePunct w:val="0"/>
        <w:autoSpaceDE/>
        <w:autoSpaceDN/>
        <w:bidi w:val="0"/>
        <w:adjustRightInd/>
        <w:snapToGrid/>
        <w:spacing w:line="580" w:lineRule="exact"/>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2024年度收入总计19,451.10万元，其中：本年收入合计19,233.71万元，使用非财政拨款结余（含专用结余）0.00万元，年初结转和结余217.40万元。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2024年度支出总计19,451.10万元，其中：本年支出合计20,240.80万元，结余分配0.00万元，年末结转和结余-789.70万元。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收入支出总体与上年相比，减少1,106.97万元，下降5.38%，主要原因是：</w:t>
      </w:r>
      <w:r>
        <w:rPr>
          <w:rFonts w:hint="eastAsia" w:ascii="仿宋_GB2312" w:eastAsia="仿宋_GB2312"/>
          <w:b w:val="0"/>
          <w:sz w:val="32"/>
          <w:szCs w:val="32"/>
          <w:lang w:val="en-US" w:eastAsia="zh-CN"/>
        </w:rPr>
        <w:t>1.2024年</w:t>
      </w:r>
      <w:r>
        <w:rPr>
          <w:rFonts w:hint="eastAsia" w:ascii="仿宋_GB2312" w:eastAsia="仿宋_GB2312"/>
          <w:b w:val="0"/>
          <w:sz w:val="32"/>
          <w:szCs w:val="32"/>
          <w:lang w:eastAsia="zh-CN"/>
        </w:rPr>
        <w:t>在职人员减少，相应人员经费减少；</w:t>
      </w:r>
      <w:r>
        <w:rPr>
          <w:rFonts w:hint="eastAsia" w:ascii="仿宋_GB2312" w:eastAsia="仿宋_GB2312"/>
          <w:b w:val="0"/>
          <w:sz w:val="32"/>
          <w:szCs w:val="32"/>
          <w:lang w:val="en-US" w:eastAsia="zh-CN"/>
        </w:rPr>
        <w:t>2.救灾物资储备服务中心</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ascii="仿宋_GB2312" w:eastAsia="仿宋_GB2312"/>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19,233.71万元，其中：财政拨款收入17,968.96万元,占93.42%；上级补助收入0.00万元,占0.00%；事业收入289.08万元，占1.50%；经营收入0.00万元,占0.00%；附属单位上缴收入0.00万元，占0.00%；其他收入975.66万元，占5.07%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本年支出20,240.80万元，其中：基本支出9,708.22万元，占47.96%；项目支出10,532.58万元，占52.04%；上缴上级支出0.00万元，占0.00%；经营支出0.00万元，占0.00%；对附属单位补助支出0.00万元，占0.00%。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18,079.74万元，其中：年初财政拨款结转和结余110.77万元，本年财政拨款收入17,968.96万元。财政拨款支出总计18,079.74万元，其中：年末财政拨款结转和结余115.21万元，本年财政拨款支出17,964.53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财政拨款收入支出总体与上年相比，减少488.30万元，下降2.63%，主要原因是：</w:t>
      </w:r>
      <w:r>
        <w:rPr>
          <w:rFonts w:hint="eastAsia" w:ascii="仿宋_GB2312" w:eastAsia="仿宋_GB2312"/>
          <w:b w:val="0"/>
          <w:sz w:val="32"/>
          <w:szCs w:val="32"/>
          <w:lang w:val="en-US" w:eastAsia="zh-CN"/>
        </w:rPr>
        <w:t>1.2024年</w:t>
      </w:r>
      <w:r>
        <w:rPr>
          <w:rFonts w:hint="eastAsia" w:ascii="仿宋_GB2312" w:eastAsia="仿宋_GB2312"/>
          <w:b w:val="0"/>
          <w:sz w:val="32"/>
          <w:szCs w:val="32"/>
          <w:lang w:eastAsia="zh-CN"/>
        </w:rPr>
        <w:t>在职人员减少，相应人员经费减少；</w:t>
      </w:r>
      <w:r>
        <w:rPr>
          <w:rFonts w:hint="eastAsia" w:ascii="仿宋_GB2312" w:eastAsia="仿宋_GB2312"/>
          <w:b w:val="0"/>
          <w:sz w:val="32"/>
          <w:szCs w:val="32"/>
          <w:lang w:val="en-US" w:eastAsia="zh-CN"/>
        </w:rPr>
        <w:t>2.</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ascii="仿宋_GB2312" w:eastAsia="仿宋_GB2312"/>
          <w:b w:val="0"/>
          <w:sz w:val="32"/>
          <w:szCs w:val="32"/>
        </w:rPr>
        <w:t>。与年初预算相比，年初预算数12,680.37万元，决算数18,079.74万元，预决算差异率42.58%，主要原因是：</w:t>
      </w:r>
      <w:r>
        <w:rPr>
          <w:rFonts w:hint="eastAsia" w:ascii="仿宋_GB2312" w:eastAsia="仿宋_GB2312"/>
          <w:b w:val="0"/>
          <w:sz w:val="32"/>
          <w:szCs w:val="32"/>
          <w:lang w:val="en-US" w:eastAsia="zh-CN"/>
        </w:rPr>
        <w:t>年中追加</w:t>
      </w:r>
      <w:r>
        <w:rPr>
          <w:rFonts w:hint="eastAsia" w:ascii="仿宋_GB2312" w:hAnsi="仿宋" w:eastAsia="仿宋_GB2312"/>
          <w:sz w:val="32"/>
          <w:szCs w:val="32"/>
          <w:lang w:val="en-US" w:eastAsia="zh-CN"/>
        </w:rPr>
        <w:t>质检站</w:t>
      </w:r>
      <w:r>
        <w:rPr>
          <w:rFonts w:hint="eastAsia" w:ascii="仿宋_GB2312" w:eastAsia="仿宋_GB2312"/>
          <w:b w:val="0"/>
          <w:sz w:val="32"/>
          <w:szCs w:val="32"/>
          <w:lang w:val="en-US" w:eastAsia="zh-CN"/>
        </w:rPr>
        <w:t>实验室搬迁项目等，导致预决算存在差异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2024年度一般公共预算财政拨款支出17,964.53万元，占本年支出合计的88.75%。与上年相比，减少450.79万元，下降2.45%，主要原因是：</w:t>
      </w:r>
      <w:r>
        <w:rPr>
          <w:rFonts w:hint="eastAsia" w:ascii="仿宋_GB2312" w:eastAsia="仿宋_GB2312"/>
          <w:b w:val="0"/>
          <w:sz w:val="32"/>
          <w:szCs w:val="32"/>
          <w:lang w:val="en-US" w:eastAsia="zh-CN"/>
        </w:rPr>
        <w:t>1.2024年</w:t>
      </w:r>
      <w:r>
        <w:rPr>
          <w:rFonts w:hint="eastAsia" w:ascii="仿宋_GB2312" w:eastAsia="仿宋_GB2312"/>
          <w:b w:val="0"/>
          <w:sz w:val="32"/>
          <w:szCs w:val="32"/>
          <w:lang w:eastAsia="zh-CN"/>
        </w:rPr>
        <w:t>在职人员减少，相应人员经费减少；</w:t>
      </w:r>
      <w:r>
        <w:rPr>
          <w:rFonts w:hint="eastAsia" w:ascii="仿宋_GB2312" w:eastAsia="仿宋_GB2312"/>
          <w:b w:val="0"/>
          <w:sz w:val="32"/>
          <w:szCs w:val="32"/>
          <w:lang w:val="en-US" w:eastAsia="zh-CN"/>
        </w:rPr>
        <w:t>2.救灾物资储备服务中心</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ascii="仿宋_GB2312" w:eastAsia="仿宋_GB2312"/>
          <w:b w:val="0"/>
          <w:sz w:val="32"/>
          <w:szCs w:val="32"/>
        </w:rPr>
        <w:t>。与年初预算相比，年初预算数12,680.37万元，决算数17,964.53万元，预决算差异率41.67%，主要原因是：</w:t>
      </w:r>
      <w:r>
        <w:rPr>
          <w:rFonts w:hint="eastAsia" w:ascii="仿宋_GB2312" w:eastAsia="仿宋_GB2312"/>
          <w:b w:val="0"/>
          <w:sz w:val="32"/>
          <w:szCs w:val="32"/>
          <w:lang w:val="en-US" w:eastAsia="zh-CN"/>
        </w:rPr>
        <w:t>年中追加</w:t>
      </w:r>
      <w:r>
        <w:rPr>
          <w:rFonts w:hint="eastAsia" w:ascii="仿宋_GB2312" w:hAnsi="仿宋" w:eastAsia="仿宋_GB2312"/>
          <w:sz w:val="32"/>
          <w:szCs w:val="32"/>
          <w:lang w:val="en-US" w:eastAsia="zh-CN"/>
        </w:rPr>
        <w:t>质检站</w:t>
      </w:r>
      <w:r>
        <w:rPr>
          <w:rFonts w:hint="eastAsia" w:ascii="仿宋_GB2312" w:eastAsia="仿宋_GB2312"/>
          <w:b w:val="0"/>
          <w:sz w:val="32"/>
          <w:szCs w:val="32"/>
          <w:lang w:val="en-US" w:eastAsia="zh-CN"/>
        </w:rPr>
        <w:t>实验室搬迁项目等，导致预决算存在差异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一般公共服务支出（类）6.96万元，占0.04%。</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教育支出（类）7,987.47万元，占44.46%。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社会保障和就业支出（类）1,090.88万元，占6.07%。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卫生健康支出（类）228.61万元，占1.27%。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住房保障支出（类）206.37万元，占1.15%。</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粮油物资储备支出（类）7,900.98万元，占43.98%。</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灾害防治及应急管理支出（类）543.26万元，占3.02%。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一般公共服务支出（类）其他一般公共服务支出（款）其他一般公共服务支出（项）：支出决算数为6.96万元，比上年决算增加6.96万元，增长100.00%，主要原因是：</w:t>
      </w:r>
      <w:r>
        <w:rPr>
          <w:rFonts w:hint="eastAsia" w:ascii="仿宋_GB2312" w:eastAsia="仿宋_GB2312"/>
          <w:b w:val="0"/>
          <w:sz w:val="32"/>
          <w:szCs w:val="32"/>
          <w:lang w:eastAsia="zh-CN"/>
        </w:rPr>
        <w:t>增加聘用人员工资。</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教育支出（类）职业教育（款）中等职业教育（项）：支出决算数为7,359.72万元，比上年决算增加185.72万元，增长2.59%，主要原因是：新疆工业经济学校（新疆经济贸易技师学院）</w:t>
      </w:r>
      <w:r>
        <w:rPr>
          <w:rFonts w:hint="eastAsia" w:ascii="仿宋_GB2312" w:eastAsia="仿宋_GB2312"/>
          <w:b w:val="0"/>
          <w:sz w:val="32"/>
          <w:szCs w:val="32"/>
          <w:lang w:val="en-US" w:eastAsia="zh-CN"/>
        </w:rPr>
        <w:t>2024年社保、医疗、住房公积金上年单独科目列支，本年调整至主科目支出</w:t>
      </w:r>
      <w:r>
        <w:rPr>
          <w:rFonts w:hint="eastAsia" w:ascii="仿宋_GB2312" w:eastAsia="仿宋_GB2312"/>
          <w:b w:val="0"/>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教育支出（类）职业教育（款）技校教育（项）：支出决算数为627.75万元，比上年决算增加436.78万元，增长228.72%，主要原因是：</w:t>
      </w:r>
      <w:r>
        <w:rPr>
          <w:rFonts w:hint="eastAsia" w:ascii="仿宋_GB2312" w:eastAsia="仿宋_GB2312"/>
          <w:b w:val="0"/>
          <w:sz w:val="32"/>
          <w:szCs w:val="32"/>
        </w:rPr>
        <w:t>2024年学生资助补助经费预算（中央直达资金）-技工助学金</w:t>
      </w:r>
      <w:r>
        <w:rPr>
          <w:rFonts w:hint="eastAsia" w:ascii="仿宋_GB2312" w:eastAsia="仿宋_GB2312"/>
          <w:b w:val="0"/>
          <w:sz w:val="32"/>
          <w:szCs w:val="32"/>
          <w:lang w:eastAsia="zh-CN"/>
        </w:rPr>
        <w:t>、技工免学费、免除生源地为南疆四地州和其他BJ县、贫困县中等职业学校学生住宿费和教材费补助资金（技工）等经费增加。</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社会保障和就业支出（类）人力资源和社会保障管理事务（款）就业管理事务（项）：支出决算数为13.50万元，比上年决算增加13.50万元，增长100.00%，主要原因是：</w:t>
      </w:r>
      <w:r>
        <w:rPr>
          <w:rFonts w:hint="eastAsia" w:ascii="仿宋_GB2312" w:eastAsia="仿宋_GB2312"/>
          <w:b w:val="0"/>
          <w:sz w:val="32"/>
          <w:szCs w:val="32"/>
          <w:lang w:eastAsia="zh-CN"/>
        </w:rPr>
        <w:t>增加</w:t>
      </w:r>
      <w:r>
        <w:rPr>
          <w:rFonts w:hint="eastAsia" w:ascii="仿宋_GB2312" w:eastAsia="仿宋_GB2312"/>
          <w:b w:val="0"/>
          <w:sz w:val="32"/>
          <w:szCs w:val="32"/>
        </w:rPr>
        <w:t>新疆人才发展基金2024年度第一轮支持资金</w:t>
      </w:r>
      <w:r>
        <w:rPr>
          <w:rFonts w:hint="eastAsia" w:ascii="仿宋_GB2312" w:eastAsia="仿宋_GB2312"/>
          <w:b w:val="0"/>
          <w:sz w:val="32"/>
          <w:szCs w:val="32"/>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社会保障和就业支出（类）行政事业单位养老支出（款）行政单位离退休（项）：支出决算数为576.82万元，比上年决算减少39.53万元，下降6.41%，主要原因是：</w:t>
      </w:r>
      <w:r>
        <w:rPr>
          <w:rFonts w:hint="eastAsia" w:ascii="仿宋_GB2312" w:eastAsia="仿宋_GB2312"/>
          <w:b w:val="0"/>
          <w:sz w:val="32"/>
          <w:szCs w:val="32"/>
          <w:lang w:val="en-US" w:eastAsia="zh-CN"/>
        </w:rPr>
        <w:t>2024年</w:t>
      </w:r>
      <w:r>
        <w:rPr>
          <w:rFonts w:hint="eastAsia" w:ascii="仿宋_GB2312" w:eastAsia="仿宋_GB2312"/>
          <w:b w:val="0"/>
          <w:sz w:val="32"/>
          <w:szCs w:val="32"/>
          <w:lang w:eastAsia="zh-CN"/>
        </w:rPr>
        <w:t>离休人员减少，</w:t>
      </w:r>
      <w:r>
        <w:rPr>
          <w:rFonts w:ascii="仿宋_GB2312" w:eastAsia="仿宋_GB2312"/>
          <w:b w:val="0"/>
          <w:sz w:val="32"/>
          <w:szCs w:val="32"/>
        </w:rPr>
        <w:t>单位离退休</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社会保障和就业支出（类）行政事业单位养老支出（款）事业单位离退休（项）：支出决算数为189.76万元，比上年决算减少36.41万元，下降16.10%，主要原因是：</w:t>
      </w:r>
      <w:r>
        <w:rPr>
          <w:rFonts w:hint="eastAsia" w:ascii="仿宋_GB2312" w:eastAsia="仿宋_GB2312"/>
          <w:b w:val="0"/>
          <w:sz w:val="32"/>
          <w:szCs w:val="32"/>
          <w:lang w:val="en-US" w:eastAsia="zh-CN"/>
        </w:rPr>
        <w:t>2024年</w:t>
      </w:r>
      <w:r>
        <w:rPr>
          <w:rFonts w:hint="eastAsia" w:ascii="仿宋_GB2312" w:eastAsia="仿宋_GB2312"/>
          <w:b w:val="0"/>
          <w:sz w:val="32"/>
          <w:szCs w:val="32"/>
          <w:lang w:eastAsia="zh-CN"/>
        </w:rPr>
        <w:t>离休人员减少，</w:t>
      </w:r>
      <w:r>
        <w:rPr>
          <w:rFonts w:ascii="仿宋_GB2312" w:eastAsia="仿宋_GB2312"/>
          <w:b w:val="0"/>
          <w:sz w:val="32"/>
          <w:szCs w:val="32"/>
        </w:rPr>
        <w:t>单位离退休</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社会保障和就业支出（类）行政事业单位养老支出（款）机关事业单位基本养老保险缴费支出（项）：支出决算数为246.95万元，比上年决算减少411.47万元，下降62.49%，主要原因是：</w:t>
      </w:r>
      <w:r>
        <w:rPr>
          <w:rFonts w:hint="eastAsia" w:ascii="仿宋_GB2312" w:eastAsia="仿宋_GB2312"/>
          <w:b w:val="0"/>
          <w:sz w:val="32"/>
          <w:szCs w:val="32"/>
          <w:lang w:val="en-US" w:eastAsia="zh-CN"/>
        </w:rPr>
        <w:t>2024年</w:t>
      </w:r>
      <w:r>
        <w:rPr>
          <w:rFonts w:hint="eastAsia" w:ascii="仿宋_GB2312" w:eastAsia="仿宋_GB2312"/>
          <w:b w:val="0"/>
          <w:sz w:val="32"/>
          <w:szCs w:val="32"/>
          <w:lang w:eastAsia="zh-CN"/>
        </w:rPr>
        <w:t>在职人员减少，</w:t>
      </w:r>
      <w:r>
        <w:rPr>
          <w:rFonts w:ascii="仿宋_GB2312" w:eastAsia="仿宋_GB2312"/>
          <w:b w:val="0"/>
          <w:sz w:val="32"/>
          <w:szCs w:val="32"/>
        </w:rPr>
        <w:t>基本养老保险缴费支出</w:t>
      </w:r>
      <w:r>
        <w:rPr>
          <w:rFonts w:hint="eastAsia" w:ascii="仿宋_GB2312" w:eastAsia="仿宋_GB2312"/>
          <w:b w:val="0"/>
          <w:sz w:val="32"/>
          <w:szCs w:val="32"/>
          <w:lang w:eastAsia="zh-CN"/>
        </w:rPr>
        <w:t>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社会保障和就业支出（类）行政事业单位养老支出（款）机关事业单位职业年金缴费支出（项）：支出决算数为51.46万元，比上年决算减少225.14万元，下降81.40%，主要原因是：</w:t>
      </w:r>
      <w:r>
        <w:rPr>
          <w:rFonts w:hint="eastAsia" w:ascii="仿宋_GB2312" w:eastAsia="仿宋_GB2312"/>
          <w:b w:val="0"/>
          <w:sz w:val="32"/>
          <w:szCs w:val="32"/>
          <w:lang w:val="en-US" w:eastAsia="zh-CN"/>
        </w:rPr>
        <w:t>2024年退休人员职业年金做实缴费减少。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社会保障和就业支出（类）企业改革补助（款）其他企业改革发展补助（项）：支出决算数为12.39万元，比上年决算减少14.74万元，下降54.33%，主要原因是：</w:t>
      </w:r>
      <w:r>
        <w:rPr>
          <w:rFonts w:hint="eastAsia" w:ascii="仿宋_GB2312" w:eastAsia="仿宋_GB2312"/>
          <w:b w:val="0"/>
          <w:sz w:val="32"/>
          <w:szCs w:val="32"/>
          <w:lang w:val="en-US" w:eastAsia="zh-CN"/>
        </w:rPr>
        <w:t>2024年减少区属国有企业离休干部（遗孀）生活待遇经费。</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卫生健康支出（类）行政事业单位医疗（款）行政单位医疗（项）：支出决算数为60.52万元，比上年决算减少7.50万元，下降11.03%，主要原因是：</w:t>
      </w:r>
      <w:r>
        <w:rPr>
          <w:rFonts w:hint="eastAsia" w:ascii="仿宋_GB2312" w:eastAsia="仿宋_GB2312"/>
          <w:b w:val="0"/>
          <w:sz w:val="32"/>
          <w:szCs w:val="32"/>
          <w:lang w:val="en-US" w:eastAsia="zh-CN"/>
        </w:rPr>
        <w:t>2024年</w:t>
      </w:r>
      <w:r>
        <w:rPr>
          <w:rFonts w:hint="eastAsia" w:ascii="仿宋_GB2312" w:eastAsia="仿宋_GB2312"/>
          <w:b w:val="0"/>
          <w:sz w:val="32"/>
          <w:szCs w:val="32"/>
          <w:lang w:eastAsia="zh-CN"/>
        </w:rPr>
        <w:t>在职人员减少，</w:t>
      </w:r>
      <w:r>
        <w:rPr>
          <w:rFonts w:ascii="仿宋_GB2312" w:eastAsia="仿宋_GB2312"/>
          <w:b w:val="0"/>
          <w:sz w:val="32"/>
          <w:szCs w:val="32"/>
        </w:rPr>
        <w:t>行政单位医疗</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卫生健康支出（类）行政事业单位医疗（款）事业单位医疗（项）：支出决算数为60.48万元，比上年决算减少182.78万元，下降75.14%，主要原因是：</w:t>
      </w:r>
      <w:r>
        <w:rPr>
          <w:rFonts w:hint="eastAsia" w:ascii="仿宋_GB2312" w:eastAsia="仿宋_GB2312"/>
          <w:b w:val="0"/>
          <w:sz w:val="32"/>
          <w:szCs w:val="32"/>
          <w:lang w:val="en-US" w:eastAsia="zh-CN"/>
        </w:rPr>
        <w:t>2024年在职人员减少，</w:t>
      </w:r>
      <w:r>
        <w:rPr>
          <w:rFonts w:ascii="仿宋_GB2312" w:eastAsia="仿宋_GB2312"/>
          <w:b w:val="0"/>
          <w:sz w:val="32"/>
          <w:szCs w:val="32"/>
        </w:rPr>
        <w:t>事业单位医疗</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卫生健康支出（类）行政事业单位医疗（款）公务员医疗补助（项）：支出决算数为107.61万元，比上年决算减少180.45万元，下降62.64%，主要原因是：</w:t>
      </w:r>
      <w:r>
        <w:rPr>
          <w:rFonts w:hint="eastAsia" w:ascii="仿宋_GB2312" w:eastAsia="仿宋_GB2312"/>
          <w:b w:val="0"/>
          <w:sz w:val="32"/>
          <w:szCs w:val="32"/>
          <w:lang w:val="en-US" w:eastAsia="zh-CN"/>
        </w:rPr>
        <w:t>2024年在职人员减少，</w:t>
      </w:r>
      <w:r>
        <w:rPr>
          <w:rFonts w:ascii="仿宋_GB2312" w:eastAsia="仿宋_GB2312"/>
          <w:b w:val="0"/>
          <w:sz w:val="32"/>
          <w:szCs w:val="32"/>
        </w:rPr>
        <w:t>公务员医疗补助</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节能环保支出（类）能源节约利用（款）能源节约利用（项）：支出决算数为0.00万元，比上年决算减少54.75万元，下降100.00%，主要原因是：</w:t>
      </w:r>
      <w:r>
        <w:rPr>
          <w:rFonts w:hint="eastAsia" w:ascii="仿宋_GB2312" w:eastAsia="仿宋_GB2312"/>
          <w:b w:val="0"/>
          <w:sz w:val="32"/>
          <w:szCs w:val="32"/>
          <w:lang w:val="en-US" w:eastAsia="zh-CN"/>
        </w:rPr>
        <w:t>2023年</w:t>
      </w:r>
      <w:r>
        <w:rPr>
          <w:rFonts w:ascii="仿宋_GB2312" w:eastAsia="仿宋_GB2312"/>
          <w:b w:val="0"/>
          <w:sz w:val="32"/>
          <w:szCs w:val="32"/>
          <w:lang w:val="en-US" w:eastAsia="zh-CN"/>
        </w:rPr>
        <w:t>支付办公楼节能改造项目剩余资金</w:t>
      </w:r>
      <w:r>
        <w:rPr>
          <w:rFonts w:hint="eastAsia" w:ascii="仿宋_GB2312" w:eastAsia="仿宋_GB2312"/>
          <w:b w:val="0"/>
          <w:sz w:val="32"/>
          <w:szCs w:val="32"/>
          <w:lang w:val="en-US" w:eastAsia="zh-CN"/>
        </w:rPr>
        <w:t>，本年无此经费。</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住房保障支出（类）住房改革支出（款）住房公积金（项）：支出决算数为206.37万元，比上年决算减少287.44万元，下降58.21%，主要原因是：</w:t>
      </w:r>
      <w:r>
        <w:rPr>
          <w:rFonts w:hint="eastAsia" w:ascii="仿宋_GB2312" w:eastAsia="仿宋_GB2312"/>
          <w:b w:val="0"/>
          <w:sz w:val="32"/>
          <w:szCs w:val="32"/>
          <w:lang w:eastAsia="zh-CN"/>
        </w:rPr>
        <w:t>人员减少，</w:t>
      </w:r>
      <w:r>
        <w:rPr>
          <w:rFonts w:ascii="仿宋_GB2312" w:eastAsia="仿宋_GB2312"/>
          <w:b w:val="0"/>
          <w:sz w:val="32"/>
          <w:szCs w:val="32"/>
        </w:rPr>
        <w:t>住房公积金</w:t>
      </w:r>
      <w:r>
        <w:rPr>
          <w:rFonts w:hint="eastAsia" w:ascii="仿宋_GB2312" w:eastAsia="仿宋_GB2312"/>
          <w:b w:val="0"/>
          <w:sz w:val="32"/>
          <w:szCs w:val="32"/>
          <w:lang w:eastAsia="zh-CN"/>
        </w:rPr>
        <w:t>支出减少。</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粮油物资储备支出（类）粮油物资事务（款）行政运行（项）：支出决算数为1,559.22万元，比上年决算增加12.13万元，增长0.78%，主要原因是：</w:t>
      </w:r>
      <w:r>
        <w:rPr>
          <w:rFonts w:hint="eastAsia" w:ascii="仿宋_GB2312" w:eastAsia="仿宋_GB2312"/>
          <w:b w:val="0"/>
          <w:sz w:val="32"/>
          <w:szCs w:val="32"/>
          <w:lang w:eastAsia="zh-CN"/>
        </w:rPr>
        <w:t>人员工资调增，</w:t>
      </w:r>
      <w:r>
        <w:rPr>
          <w:rFonts w:hint="eastAsia" w:ascii="仿宋_GB2312" w:eastAsia="仿宋_GB2312"/>
          <w:b w:val="0"/>
          <w:sz w:val="32"/>
          <w:szCs w:val="32"/>
          <w:lang w:val="en-US" w:eastAsia="zh-CN"/>
        </w:rPr>
        <w:t>人员经费</w:t>
      </w:r>
      <w:r>
        <w:rPr>
          <w:rFonts w:hint="eastAsia" w:ascii="仿宋_GB2312" w:eastAsia="仿宋_GB2312"/>
          <w:b w:val="0"/>
          <w:sz w:val="32"/>
          <w:szCs w:val="32"/>
          <w:lang w:eastAsia="zh-CN"/>
        </w:rPr>
        <w:t>增加。</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粮油物资储备支出（类）粮油物资事务（款）机关服务（项）：支出决算数为558.92万元，比上年决算增加104.41万元，增长22.97%，主要原因是：</w:t>
      </w:r>
      <w:r>
        <w:rPr>
          <w:rFonts w:hint="eastAsia" w:ascii="仿宋_GB2312" w:eastAsia="仿宋_GB2312"/>
          <w:b w:val="0"/>
          <w:sz w:val="32"/>
          <w:szCs w:val="32"/>
          <w:lang w:eastAsia="zh-CN"/>
        </w:rPr>
        <w:t>本年</w:t>
      </w:r>
      <w:r>
        <w:rPr>
          <w:rFonts w:hint="eastAsia" w:ascii="仿宋_GB2312" w:eastAsia="仿宋_GB2312"/>
          <w:b w:val="0"/>
          <w:sz w:val="32"/>
          <w:szCs w:val="32"/>
        </w:rPr>
        <w:t>维修改造项目</w:t>
      </w:r>
      <w:r>
        <w:rPr>
          <w:rFonts w:hint="eastAsia" w:ascii="仿宋_GB2312" w:eastAsia="仿宋_GB2312"/>
          <w:b w:val="0"/>
          <w:sz w:val="32"/>
          <w:szCs w:val="32"/>
          <w:lang w:eastAsia="zh-CN"/>
        </w:rPr>
        <w:t>支出增加。</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粮油物资储备支出（类）粮油物资事务（款）其他粮油物资事务支出（项）：支出决算数为3,263.91万元，比上年决算增加955.54万元，增长41.39%，主要原因是：</w:t>
      </w:r>
      <w:r>
        <w:rPr>
          <w:rFonts w:hint="eastAsia" w:ascii="仿宋_GB2312" w:eastAsia="仿宋_GB2312"/>
          <w:b w:val="0"/>
          <w:sz w:val="32"/>
          <w:szCs w:val="32"/>
          <w:lang w:val="en-US" w:eastAsia="zh-CN"/>
        </w:rPr>
        <w:t>2024年增加</w:t>
      </w:r>
      <w:r>
        <w:rPr>
          <w:rFonts w:ascii="仿宋_GB2312" w:eastAsia="仿宋_GB2312"/>
          <w:b w:val="0"/>
          <w:sz w:val="32"/>
          <w:szCs w:val="32"/>
          <w:lang w:val="en-US" w:eastAsia="zh-CN"/>
        </w:rPr>
        <w:t>自治区政府食盐储备费用，</w:t>
      </w:r>
      <w:r>
        <w:rPr>
          <w:rFonts w:hint="eastAsia" w:ascii="仿宋_GB2312" w:eastAsia="仿宋_GB2312"/>
          <w:b w:val="0"/>
          <w:sz w:val="32"/>
          <w:szCs w:val="32"/>
          <w:lang w:val="en-US" w:eastAsia="zh-CN"/>
        </w:rPr>
        <w:t>增加</w:t>
      </w:r>
      <w:r>
        <w:rPr>
          <w:rFonts w:ascii="仿宋_GB2312" w:eastAsia="仿宋_GB2312"/>
          <w:b w:val="0"/>
          <w:sz w:val="32"/>
          <w:szCs w:val="32"/>
          <w:lang w:val="en-US" w:eastAsia="zh-CN"/>
        </w:rPr>
        <w:t>自治区粮食信息化省级平台优化升级项目</w:t>
      </w:r>
      <w:r>
        <w:rPr>
          <w:rFonts w:hint="eastAsia" w:ascii="仿宋_GB2312" w:eastAsia="仿宋_GB2312"/>
          <w:b w:val="0"/>
          <w:sz w:val="32"/>
          <w:szCs w:val="32"/>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粮油物资储备支出（类）能源储备（款）成品油储备（项）：支出决算数为1,760.91万元，比上年决算增加1,760.91万元，增长100.00%，主要原因是：</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成品油储备</w:t>
      </w:r>
      <w:r>
        <w:rPr>
          <w:rFonts w:hint="eastAsia" w:ascii="仿宋_GB2312" w:eastAsia="仿宋_GB2312"/>
          <w:b w:val="0"/>
          <w:sz w:val="32"/>
          <w:szCs w:val="32"/>
          <w:lang w:eastAsia="zh-CN"/>
        </w:rPr>
        <w:t>项目经费。</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粮油物资储备支出（类）重要商品储备（款）应急物资储备（项）：支出决算数为758.02万元，比上年决算减少2,885.92万元，下降79.20%，主要原因是：</w:t>
      </w:r>
      <w:r>
        <w:rPr>
          <w:rFonts w:hint="eastAsia" w:ascii="仿宋_GB2312" w:eastAsia="仿宋_GB2312"/>
          <w:b w:val="0"/>
          <w:sz w:val="32"/>
          <w:szCs w:val="32"/>
        </w:rPr>
        <w:t>本年减少中央管理经费项目资金</w:t>
      </w:r>
      <w:r>
        <w:rPr>
          <w:rFonts w:hint="eastAsia" w:ascii="仿宋_GB2312" w:eastAsia="仿宋_GB2312"/>
          <w:b w:val="0"/>
          <w:sz w:val="32"/>
          <w:szCs w:val="32"/>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灾害防治及应急管理支出（类）应急管理事务（款）灾害风险防治（项）：支出决算数为543.26万元，比上年决算增加399.38万元，增长277.58%，主要原因是：</w:t>
      </w:r>
      <w:r>
        <w:rPr>
          <w:rFonts w:hint="eastAsia" w:ascii="仿宋_GB2312" w:eastAsia="仿宋_GB2312"/>
          <w:b w:val="0"/>
          <w:sz w:val="32"/>
          <w:szCs w:val="32"/>
        </w:rPr>
        <w:t>2024年中央自然灾害救灾资金</w:t>
      </w:r>
      <w:r>
        <w:rPr>
          <w:rFonts w:hint="eastAsia" w:ascii="仿宋_GB2312" w:eastAsia="仿宋_GB2312"/>
          <w:b w:val="0"/>
          <w:sz w:val="32"/>
          <w:szCs w:val="32"/>
          <w:lang w:eastAsia="zh-CN"/>
        </w:rPr>
        <w:t>、中央应急抢险救灾物资储备保管费增加</w:t>
      </w:r>
      <w:r>
        <w:rPr>
          <w:rFonts w:hint="eastAsia" w:ascii="仿宋_GB2312" w:eastAsia="仿宋_GB2312"/>
          <w:b w:val="0"/>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9,686.60万元，其中：人员经费7,789.76万元，包括：基本工资、津贴补贴、奖金、伙食补助费、绩效工资、机关事业单位基本养老保险缴费、职业年金缴费、职工基本医疗保险缴费、公务员医疗补助缴费、其他社会保障缴费、住房公积金、其他工资福利支出、离休费、退休费、抚恤金、生活补助、奖励金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1,896.84万元，包括：办公费、印刷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信息网络及软件购置更新和无形资产购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“三公”</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w:t>
      </w:r>
      <w:r>
        <w:rPr>
          <w:rFonts w:hint="eastAsia" w:ascii="仿宋_GB2312" w:eastAsia="仿宋_GB2312"/>
          <w:b w:val="0"/>
          <w:sz w:val="32"/>
          <w:szCs w:val="32"/>
          <w:lang w:eastAsia="zh-CN"/>
        </w:rPr>
        <w:t>“三公”</w:t>
      </w:r>
      <w:r>
        <w:rPr>
          <w:rFonts w:ascii="仿宋_GB2312" w:eastAsia="仿宋_GB2312"/>
          <w:b w:val="0"/>
          <w:sz w:val="32"/>
          <w:szCs w:val="32"/>
        </w:rPr>
        <w:t>经费支出53.09万元，比上年减少1.40万元，下降2.57%，主要原因是：</w:t>
      </w:r>
      <w:r>
        <w:rPr>
          <w:rFonts w:ascii="仿宋_GB2312" w:eastAsia="仿宋_GB2312"/>
          <w:b w:val="0"/>
          <w:sz w:val="32"/>
          <w:szCs w:val="32"/>
          <w:lang w:val="en-US" w:eastAsia="zh-CN"/>
        </w:rPr>
        <w:t>深入贯彻党政机关过“紧日子”的工作要求</w:t>
      </w:r>
      <w:r>
        <w:rPr>
          <w:rFonts w:hint="eastAsia" w:ascii="仿宋_GB2312" w:eastAsia="仿宋_GB2312"/>
          <w:b w:val="0"/>
          <w:sz w:val="32"/>
          <w:szCs w:val="32"/>
          <w:lang w:val="en-US" w:eastAsia="zh-CN"/>
        </w:rPr>
        <w:t>，</w:t>
      </w:r>
      <w:r>
        <w:rPr>
          <w:rFonts w:hint="eastAsia" w:ascii="仿宋_GB2312" w:eastAsia="仿宋_GB2312"/>
          <w:b w:val="0"/>
          <w:sz w:val="32"/>
          <w:szCs w:val="32"/>
          <w:lang w:eastAsia="zh-CN"/>
        </w:rPr>
        <w:t>厉行节约，</w:t>
      </w:r>
      <w:r>
        <w:rPr>
          <w:rFonts w:hint="eastAsia" w:ascii="仿宋_GB2312" w:eastAsia="仿宋_GB2312"/>
          <w:b w:val="0"/>
          <w:sz w:val="32"/>
          <w:szCs w:val="32"/>
          <w:lang w:val="en-US" w:eastAsia="zh-CN"/>
        </w:rPr>
        <w:t>减少</w:t>
      </w:r>
      <w:r>
        <w:rPr>
          <w:rFonts w:hint="eastAsia" w:ascii="仿宋_GB2312" w:eastAsia="仿宋_GB2312"/>
          <w:b w:val="0"/>
          <w:sz w:val="32"/>
          <w:szCs w:val="32"/>
          <w:lang w:eastAsia="zh-CN"/>
        </w:rPr>
        <w:t>“三公”</w:t>
      </w:r>
      <w:r>
        <w:rPr>
          <w:rFonts w:ascii="仿宋_GB2312" w:eastAsia="仿宋_GB2312"/>
          <w:b w:val="0"/>
          <w:sz w:val="32"/>
          <w:szCs w:val="32"/>
        </w:rPr>
        <w:t>经费支出。其中：因公出国（境）费支出0.00万元,占0.00%，</w:t>
      </w:r>
      <w:r>
        <w:rPr>
          <w:rFonts w:hint="eastAsia" w:ascii="仿宋_GB2312" w:eastAsia="仿宋_GB2312"/>
          <w:b w:val="0"/>
          <w:sz w:val="32"/>
          <w:szCs w:val="32"/>
          <w:lang w:eastAsia="zh-CN"/>
        </w:rPr>
        <w:t>比上年增加</w:t>
      </w:r>
      <w:r>
        <w:rPr>
          <w:rFonts w:hint="eastAsia" w:ascii="仿宋_GB2312" w:eastAsia="仿宋_GB2312"/>
          <w:b w:val="0"/>
          <w:sz w:val="32"/>
          <w:szCs w:val="32"/>
          <w:lang w:val="en-US" w:eastAsia="zh-CN"/>
        </w:rPr>
        <w:t>0.00%，增长0.00%</w:t>
      </w:r>
      <w:r>
        <w:rPr>
          <w:rFonts w:ascii="仿宋_GB2312" w:eastAsia="仿宋_GB2312"/>
          <w:b w:val="0"/>
          <w:sz w:val="32"/>
          <w:szCs w:val="32"/>
        </w:rPr>
        <w:t>，主要原因是：</w:t>
      </w:r>
      <w:r>
        <w:rPr>
          <w:rFonts w:hint="eastAsia" w:ascii="仿宋_GB2312" w:eastAsia="仿宋_GB2312"/>
          <w:b w:val="0"/>
          <w:sz w:val="32"/>
          <w:szCs w:val="32"/>
          <w:lang w:val="en-US" w:eastAsia="zh-CN"/>
        </w:rPr>
        <w:t>2023年、2024年均未安排</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；公务用车购置及运行维护费支出52.09万元，占98.12%，比上年减少0.08万元，下降0.15%，主要原因是：</w:t>
      </w:r>
      <w:r>
        <w:rPr>
          <w:rFonts w:ascii="仿宋_GB2312" w:eastAsia="仿宋_GB2312"/>
          <w:b w:val="0"/>
          <w:sz w:val="32"/>
          <w:szCs w:val="32"/>
          <w:lang w:val="en-US" w:eastAsia="zh-CN"/>
        </w:rPr>
        <w:t>深入贯彻党政机关过</w:t>
      </w:r>
      <w:r>
        <w:rPr>
          <w:rFonts w:hint="eastAsia" w:ascii="仿宋_GB2312" w:eastAsia="仿宋_GB2312"/>
          <w:b w:val="0"/>
          <w:sz w:val="32"/>
          <w:szCs w:val="32"/>
          <w:lang w:val="en-US" w:eastAsia="zh-CN"/>
        </w:rPr>
        <w:t>“</w:t>
      </w:r>
      <w:r>
        <w:rPr>
          <w:rFonts w:ascii="仿宋_GB2312" w:eastAsia="仿宋_GB2312"/>
          <w:b w:val="0"/>
          <w:sz w:val="32"/>
          <w:szCs w:val="32"/>
          <w:lang w:val="en-US" w:eastAsia="zh-CN"/>
        </w:rPr>
        <w:t>紧日子</w:t>
      </w:r>
      <w:r>
        <w:rPr>
          <w:rFonts w:hint="eastAsia" w:ascii="仿宋_GB2312" w:eastAsia="仿宋_GB2312"/>
          <w:b w:val="0"/>
          <w:sz w:val="32"/>
          <w:szCs w:val="32"/>
          <w:lang w:val="en-US" w:eastAsia="zh-CN"/>
        </w:rPr>
        <w:t>”</w:t>
      </w:r>
      <w:r>
        <w:rPr>
          <w:rFonts w:ascii="仿宋_GB2312" w:eastAsia="仿宋_GB2312"/>
          <w:b w:val="0"/>
          <w:sz w:val="32"/>
          <w:szCs w:val="32"/>
          <w:lang w:val="en-US" w:eastAsia="zh-CN"/>
        </w:rPr>
        <w:t>的工作要求</w:t>
      </w:r>
      <w:r>
        <w:rPr>
          <w:rFonts w:hint="eastAsia" w:ascii="仿宋_GB2312" w:eastAsia="仿宋_GB2312"/>
          <w:b w:val="0"/>
          <w:sz w:val="32"/>
          <w:szCs w:val="32"/>
          <w:lang w:val="en-US" w:eastAsia="zh-CN"/>
        </w:rPr>
        <w:t>，</w:t>
      </w:r>
      <w:r>
        <w:rPr>
          <w:rFonts w:hint="eastAsia" w:ascii="仿宋_GB2312" w:eastAsia="仿宋_GB2312"/>
          <w:b w:val="0"/>
          <w:sz w:val="32"/>
          <w:szCs w:val="32"/>
          <w:lang w:eastAsia="zh-CN"/>
        </w:rPr>
        <w:t>厉行节约，</w:t>
      </w:r>
      <w:r>
        <w:rPr>
          <w:rFonts w:hint="eastAsia" w:ascii="仿宋_GB2312" w:eastAsia="仿宋_GB2312"/>
          <w:b w:val="0"/>
          <w:sz w:val="32"/>
          <w:szCs w:val="32"/>
          <w:lang w:val="en-US" w:eastAsia="zh-CN"/>
        </w:rPr>
        <w:t>减少</w:t>
      </w:r>
      <w:r>
        <w:rPr>
          <w:rFonts w:ascii="仿宋_GB2312" w:eastAsia="仿宋_GB2312"/>
          <w:b w:val="0"/>
          <w:sz w:val="32"/>
          <w:szCs w:val="32"/>
        </w:rPr>
        <w:t>公务用车</w:t>
      </w:r>
      <w:r>
        <w:rPr>
          <w:rFonts w:hint="eastAsia" w:ascii="仿宋_GB2312" w:eastAsia="仿宋_GB2312"/>
          <w:b w:val="0"/>
          <w:sz w:val="32"/>
          <w:szCs w:val="32"/>
          <w:lang w:eastAsia="zh-CN"/>
        </w:rPr>
        <w:t>运行费支出</w:t>
      </w:r>
      <w:r>
        <w:rPr>
          <w:rFonts w:ascii="仿宋_GB2312" w:eastAsia="仿宋_GB2312"/>
          <w:b w:val="0"/>
          <w:sz w:val="32"/>
          <w:szCs w:val="32"/>
        </w:rPr>
        <w:t>；公务接待费支出1.00万元，占1.88%，比上年减少1.32万元，下降56.90%，主要原因是：</w:t>
      </w:r>
      <w:r>
        <w:rPr>
          <w:rFonts w:hint="eastAsia" w:ascii="仿宋_GB2312" w:eastAsia="仿宋_GB2312"/>
          <w:b w:val="0"/>
          <w:sz w:val="32"/>
          <w:szCs w:val="32"/>
          <w:lang w:eastAsia="zh-CN"/>
        </w:rPr>
        <w:t>厉行节约，严格控制</w:t>
      </w:r>
      <w:r>
        <w:rPr>
          <w:rFonts w:ascii="仿宋_GB2312" w:eastAsia="仿宋_GB2312"/>
          <w:b w:val="0"/>
          <w:sz w:val="32"/>
          <w:szCs w:val="32"/>
        </w:rPr>
        <w:t>公务接待</w:t>
      </w:r>
      <w:r>
        <w:rPr>
          <w:rFonts w:hint="eastAsia" w:ascii="仿宋_GB2312" w:eastAsia="仿宋_GB2312"/>
          <w:b w:val="0"/>
          <w:sz w:val="32"/>
          <w:szCs w:val="32"/>
          <w:lang w:eastAsia="zh-CN"/>
        </w:rPr>
        <w:t>，减少接待人次</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无</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公务用车购置及运行维护费52.09万元，其中：公务用车购置费0.00万元，公务用车运行维护费52.09万元。公务用车运行维护费开支内容包括</w:t>
      </w:r>
      <w:r>
        <w:rPr>
          <w:rFonts w:ascii="仿宋_GB2312" w:eastAsia="仿宋_GB2312"/>
          <w:b w:val="0"/>
          <w:sz w:val="32"/>
          <w:szCs w:val="32"/>
          <w:lang w:val="en-US" w:eastAsia="zh-CN"/>
        </w:rPr>
        <w:t>公务用车燃料费、维修费、保险费、过路费、停车费</w:t>
      </w:r>
      <w:r>
        <w:rPr>
          <w:rFonts w:ascii="仿宋_GB2312" w:eastAsia="仿宋_GB2312"/>
          <w:b w:val="0"/>
          <w:sz w:val="32"/>
          <w:szCs w:val="32"/>
        </w:rPr>
        <w:t>。公务用车购置数0辆，公务用车保有量24辆。国有资产占用情况中固定资产车辆24辆，与公务用车保有量差异原因是：固定资产车辆与公务用车保有量</w:t>
      </w:r>
      <w:r>
        <w:rPr>
          <w:rFonts w:hint="eastAsia" w:ascii="仿宋_GB2312" w:eastAsia="仿宋_GB2312"/>
          <w:b w:val="0"/>
          <w:sz w:val="32"/>
          <w:szCs w:val="32"/>
          <w:lang w:eastAsia="zh-CN"/>
        </w:rPr>
        <w:t>无</w:t>
      </w:r>
      <w:r>
        <w:rPr>
          <w:rFonts w:ascii="仿宋_GB2312" w:eastAsia="仿宋_GB2312"/>
          <w:b w:val="0"/>
          <w:sz w:val="32"/>
          <w:szCs w:val="32"/>
        </w:rPr>
        <w:t>差异。</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公务接待费1.00万元，开支内容包括</w:t>
      </w:r>
      <w:r>
        <w:rPr>
          <w:rFonts w:hint="eastAsia" w:ascii="仿宋_GB2312" w:eastAsia="仿宋_GB2312"/>
          <w:b w:val="0"/>
          <w:sz w:val="32"/>
          <w:szCs w:val="32"/>
          <w:lang w:eastAsia="zh-CN"/>
        </w:rPr>
        <w:t>餐食费</w:t>
      </w:r>
      <w:r>
        <w:rPr>
          <w:rFonts w:ascii="仿宋_GB2312" w:eastAsia="仿宋_GB2312"/>
          <w:b w:val="0"/>
          <w:sz w:val="32"/>
          <w:szCs w:val="32"/>
        </w:rPr>
        <w:t>。单位全年安排的国内公务接待7批次，38人次。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w:t>
      </w:r>
      <w:r>
        <w:rPr>
          <w:rFonts w:hint="eastAsia" w:ascii="仿宋_GB2312" w:eastAsia="仿宋_GB2312"/>
          <w:b w:val="0"/>
          <w:sz w:val="32"/>
          <w:szCs w:val="32"/>
          <w:lang w:eastAsia="zh-CN"/>
        </w:rPr>
        <w:t>“三公”</w:t>
      </w:r>
      <w:r>
        <w:rPr>
          <w:rFonts w:ascii="仿宋_GB2312" w:eastAsia="仿宋_GB2312"/>
          <w:b w:val="0"/>
          <w:sz w:val="32"/>
          <w:szCs w:val="32"/>
        </w:rPr>
        <w:t>经费支出全年预算数55.59万元，决算数53.09万元，预决算差异率-4.50%，主要原因是：</w:t>
      </w:r>
      <w:r>
        <w:rPr>
          <w:rFonts w:ascii="仿宋_GB2312" w:eastAsia="仿宋_GB2312"/>
          <w:b w:val="0"/>
          <w:sz w:val="32"/>
          <w:szCs w:val="32"/>
          <w:lang w:val="en-US" w:eastAsia="zh-CN"/>
        </w:rPr>
        <w:t>牢固树立过</w:t>
      </w:r>
      <w:r>
        <w:rPr>
          <w:rFonts w:hint="eastAsia" w:ascii="仿宋_GB2312" w:eastAsia="仿宋_GB2312"/>
          <w:b w:val="0"/>
          <w:sz w:val="32"/>
          <w:szCs w:val="32"/>
          <w:lang w:val="en-US" w:eastAsia="zh-CN"/>
        </w:rPr>
        <w:t>“</w:t>
      </w:r>
      <w:r>
        <w:rPr>
          <w:rFonts w:ascii="仿宋_GB2312" w:eastAsia="仿宋_GB2312"/>
          <w:b w:val="0"/>
          <w:sz w:val="32"/>
          <w:szCs w:val="32"/>
          <w:lang w:val="en-US" w:eastAsia="zh-CN"/>
        </w:rPr>
        <w:t>紧日子</w:t>
      </w:r>
      <w:r>
        <w:rPr>
          <w:rFonts w:hint="eastAsia" w:ascii="仿宋_GB2312" w:eastAsia="仿宋_GB2312"/>
          <w:b w:val="0"/>
          <w:sz w:val="32"/>
          <w:szCs w:val="32"/>
          <w:lang w:val="en-US" w:eastAsia="zh-CN"/>
        </w:rPr>
        <w:t>”</w:t>
      </w:r>
      <w:r>
        <w:rPr>
          <w:rFonts w:ascii="仿宋_GB2312" w:eastAsia="仿宋_GB2312"/>
          <w:b w:val="0"/>
          <w:sz w:val="32"/>
          <w:szCs w:val="32"/>
          <w:lang w:val="en-US" w:eastAsia="zh-CN"/>
        </w:rPr>
        <w:t>思想，</w:t>
      </w:r>
      <w:r>
        <w:rPr>
          <w:rFonts w:hint="eastAsia" w:ascii="仿宋_GB2312" w:eastAsia="仿宋_GB2312"/>
          <w:b w:val="0"/>
          <w:sz w:val="32"/>
          <w:szCs w:val="32"/>
          <w:lang w:eastAsia="zh-CN"/>
        </w:rPr>
        <w:t>厉行节约，严格控制“三公”</w:t>
      </w:r>
      <w:r>
        <w:rPr>
          <w:rFonts w:ascii="仿宋_GB2312" w:eastAsia="仿宋_GB2312"/>
          <w:b w:val="0"/>
          <w:sz w:val="32"/>
          <w:szCs w:val="32"/>
        </w:rPr>
        <w:t>经费支出。其中：因公出国（境）费全年预算数0.00万元，决算数0.00万元，预决算差异率0.00%，主要原因是：</w:t>
      </w:r>
      <w:r>
        <w:rPr>
          <w:rFonts w:hint="eastAsia" w:ascii="仿宋_GB2312" w:eastAsia="仿宋_GB2312"/>
          <w:b w:val="0"/>
          <w:sz w:val="32"/>
          <w:szCs w:val="32"/>
          <w:lang w:val="en-US" w:eastAsia="zh-CN"/>
        </w:rPr>
        <w:t>2024年预算、决算均未安排</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val="en-US" w:eastAsia="zh-CN"/>
        </w:rPr>
        <w:t>2024年预算、决算均未安排</w:t>
      </w:r>
      <w:r>
        <w:rPr>
          <w:rFonts w:ascii="仿宋_GB2312" w:eastAsia="仿宋_GB2312"/>
          <w:b w:val="0"/>
          <w:sz w:val="32"/>
          <w:szCs w:val="32"/>
        </w:rPr>
        <w:t>公务用车购置。公务用车运行维护费全年预算数52.59万元，决算数52.09万元，预决算差异率-0.95%，主要原因是：</w:t>
      </w:r>
      <w:r>
        <w:rPr>
          <w:rFonts w:hint="eastAsia" w:ascii="仿宋_GB2312" w:eastAsia="仿宋_GB2312"/>
          <w:b w:val="0"/>
          <w:sz w:val="32"/>
          <w:szCs w:val="32"/>
          <w:lang w:eastAsia="zh-CN"/>
        </w:rPr>
        <w:t>厉行节约，严格控制车辆运行维护费，</w:t>
      </w:r>
      <w:r>
        <w:rPr>
          <w:rFonts w:hint="eastAsia" w:ascii="仿宋_GB2312" w:eastAsia="仿宋_GB2312"/>
          <w:b w:val="0"/>
          <w:sz w:val="32"/>
          <w:szCs w:val="32"/>
          <w:lang w:val="en-US" w:eastAsia="zh-CN"/>
        </w:rPr>
        <w:t>减少车辆运行维护费</w:t>
      </w:r>
      <w:r>
        <w:rPr>
          <w:rFonts w:ascii="仿宋_GB2312" w:eastAsia="仿宋_GB2312"/>
          <w:b w:val="0"/>
          <w:sz w:val="32"/>
          <w:szCs w:val="32"/>
        </w:rPr>
        <w:t>。公务接待费全年预算数3.00万元，决算数1.00万元，预决算差异率-66.67%，主要原因是：</w:t>
      </w:r>
      <w:r>
        <w:rPr>
          <w:rFonts w:hint="eastAsia" w:ascii="仿宋_GB2312" w:eastAsia="仿宋_GB2312"/>
          <w:b w:val="0"/>
          <w:sz w:val="32"/>
          <w:szCs w:val="32"/>
          <w:lang w:eastAsia="zh-CN"/>
        </w:rPr>
        <w:t>厉行节约，严格控制公务接待人次，</w:t>
      </w:r>
      <w:r>
        <w:rPr>
          <w:rFonts w:hint="eastAsia" w:ascii="仿宋_GB2312" w:eastAsia="仿宋_GB2312"/>
          <w:b w:val="0"/>
          <w:sz w:val="32"/>
          <w:szCs w:val="32"/>
          <w:lang w:val="en-US" w:eastAsia="zh-CN"/>
        </w:rPr>
        <w:t>减少接待支出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2024年度自治区粮食和物资储备局部门机关运行经费支出271.12万元，比上年增加65.88万元，增长32.10%，主要原因是</w:t>
      </w:r>
      <w:r>
        <w:rPr>
          <w:rFonts w:ascii="仿宋_GB2312" w:eastAsia="仿宋_GB2312"/>
          <w:b w:val="0"/>
          <w:sz w:val="32"/>
          <w:szCs w:val="32"/>
          <w:highlight w:val="none"/>
        </w:rPr>
        <w:t>：</w:t>
      </w:r>
      <w:r>
        <w:rPr>
          <w:rFonts w:ascii="仿宋_GB2312" w:eastAsia="仿宋_GB2312"/>
          <w:b w:val="0"/>
          <w:sz w:val="32"/>
          <w:szCs w:val="32"/>
          <w:highlight w:val="none"/>
          <w:lang w:val="en-US" w:eastAsia="zh-CN"/>
        </w:rPr>
        <w:t>加大粮食和物资建储投入，持续加强仓储设施建设，持续加大监督检查，</w:t>
      </w:r>
      <w:r>
        <w:rPr>
          <w:rFonts w:ascii="仿宋_GB2312" w:eastAsia="仿宋_GB2312"/>
          <w:b w:val="0"/>
          <w:sz w:val="32"/>
          <w:szCs w:val="32"/>
        </w:rPr>
        <w:t>机关运行经费支出</w:t>
      </w:r>
      <w:r>
        <w:rPr>
          <w:rFonts w:hint="eastAsia" w:ascii="仿宋_GB2312" w:eastAsia="仿宋_GB2312"/>
          <w:b w:val="0"/>
          <w:sz w:val="32"/>
          <w:szCs w:val="32"/>
          <w:lang w:eastAsia="zh-CN"/>
        </w:rPr>
        <w:t>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2024年度公用经费支出1,625.72万元，比上年减少370.10万元，下降23.35%，主要原因是：</w:t>
      </w:r>
      <w:r>
        <w:rPr>
          <w:rFonts w:hint="eastAsia" w:ascii="仿宋_GB2312" w:eastAsia="仿宋_GB2312"/>
          <w:b w:val="0"/>
          <w:sz w:val="32"/>
          <w:szCs w:val="32"/>
          <w:lang w:eastAsia="zh-CN"/>
        </w:rPr>
        <w:t>厉行节约，办公费、会议费、培训费、差旅费等公用经费减少</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2024年度政府采购支出总额1,380.52万元，其中：政府采购货物支出240.50万元、政府采购工程支出498.92万元、政府采购服务支出641.10万元。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授予中小企业合同金额1,358.46万元，占政府采购支出总额的98.40%，其中：授予小微企业合同金额1,047.57万元，占政府采购支出总额的75.88%。</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102,138.53平方米，价值19,594.05万元。车辆24辆，价值855.05万元，其中：副部（省）级及以上领导用车0辆、主要负责人用车2辆、机要通信用车0辆、应急保障用车0辆、执法执勤用车0辆、特种专业技术用车0辆、离退休干部服务用车0辆、其他用车22辆，其他用车主要是：</w:t>
      </w:r>
      <w:r>
        <w:rPr>
          <w:rFonts w:hint="eastAsia" w:ascii="仿宋_GB2312" w:eastAsia="仿宋_GB2312"/>
          <w:b w:val="0"/>
          <w:sz w:val="32"/>
          <w:szCs w:val="32"/>
          <w:lang w:eastAsia="zh-CN"/>
        </w:rPr>
        <w:t>一般业务用车</w:t>
      </w:r>
      <w:r>
        <w:rPr>
          <w:rFonts w:ascii="仿宋_GB2312" w:eastAsia="仿宋_GB2312"/>
          <w:b w:val="0"/>
          <w:sz w:val="32"/>
          <w:szCs w:val="32"/>
        </w:rPr>
        <w:t>;单价100万元（含）以上设备（不含车辆）25台（套）。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根据预算绩效管理要求，本部门2024年度预算绩效管理整体支出绩效自评表1</w:t>
      </w:r>
      <w:r>
        <w:rPr>
          <w:rFonts w:ascii="仿宋_GB2312" w:eastAsia="仿宋_GB2312"/>
          <w:b w:val="0"/>
          <w:sz w:val="32"/>
          <w:szCs w:val="32"/>
          <w:highlight w:val="none"/>
        </w:rPr>
        <w:t>个，全年预算总额</w:t>
      </w:r>
      <w:r>
        <w:rPr>
          <w:rFonts w:hint="eastAsia" w:ascii="仿宋_GB2312" w:eastAsia="仿宋_GB2312"/>
          <w:b w:val="0"/>
          <w:sz w:val="32"/>
          <w:szCs w:val="32"/>
          <w:highlight w:val="none"/>
        </w:rPr>
        <w:t>21</w:t>
      </w:r>
      <w:r>
        <w:rPr>
          <w:rFonts w:ascii="仿宋_GB2312" w:eastAsia="仿宋_GB2312"/>
          <w:b w:val="0"/>
          <w:sz w:val="32"/>
          <w:szCs w:val="32"/>
          <w:highlight w:val="none"/>
        </w:rPr>
        <w:t>,</w:t>
      </w:r>
      <w:r>
        <w:rPr>
          <w:rFonts w:hint="eastAsia" w:ascii="仿宋_GB2312" w:eastAsia="仿宋_GB2312"/>
          <w:b w:val="0"/>
          <w:sz w:val="32"/>
          <w:szCs w:val="32"/>
          <w:highlight w:val="none"/>
        </w:rPr>
        <w:t>656.38</w:t>
      </w:r>
      <w:r>
        <w:rPr>
          <w:rFonts w:ascii="仿宋_GB2312" w:eastAsia="仿宋_GB2312"/>
          <w:b w:val="0"/>
          <w:sz w:val="32"/>
          <w:szCs w:val="32"/>
          <w:highlight w:val="none"/>
        </w:rPr>
        <w:t>万元，实际执行总额</w:t>
      </w:r>
      <w:r>
        <w:rPr>
          <w:rFonts w:hint="eastAsia" w:ascii="仿宋_GB2312" w:eastAsia="仿宋_GB2312"/>
          <w:b w:val="0"/>
          <w:sz w:val="32"/>
          <w:szCs w:val="32"/>
          <w:highlight w:val="none"/>
        </w:rPr>
        <w:t>20</w:t>
      </w:r>
      <w:r>
        <w:rPr>
          <w:rFonts w:ascii="仿宋_GB2312" w:eastAsia="仿宋_GB2312"/>
          <w:b w:val="0"/>
          <w:sz w:val="32"/>
          <w:szCs w:val="32"/>
          <w:highlight w:val="none"/>
        </w:rPr>
        <w:t>,</w:t>
      </w:r>
      <w:r>
        <w:rPr>
          <w:rFonts w:hint="eastAsia" w:ascii="仿宋_GB2312" w:eastAsia="仿宋_GB2312"/>
          <w:b w:val="0"/>
          <w:sz w:val="32"/>
          <w:szCs w:val="32"/>
          <w:highlight w:val="none"/>
        </w:rPr>
        <w:t>240.8</w:t>
      </w:r>
      <w:r>
        <w:rPr>
          <w:rFonts w:hint="eastAsia" w:ascii="仿宋_GB2312" w:eastAsia="仿宋_GB2312"/>
          <w:b w:val="0"/>
          <w:sz w:val="32"/>
          <w:szCs w:val="32"/>
          <w:highlight w:val="none"/>
          <w:lang w:val="en-US" w:eastAsia="zh-CN"/>
        </w:rPr>
        <w:t>0</w:t>
      </w:r>
      <w:r>
        <w:rPr>
          <w:rFonts w:ascii="仿宋_GB2312" w:eastAsia="仿宋_GB2312"/>
          <w:b w:val="0"/>
          <w:sz w:val="32"/>
          <w:szCs w:val="32"/>
          <w:highlight w:val="none"/>
        </w:rPr>
        <w:t>万元；预算绩效评价项目</w:t>
      </w:r>
      <w:r>
        <w:rPr>
          <w:rFonts w:hint="eastAsia" w:ascii="仿宋_GB2312" w:eastAsia="仿宋_GB2312"/>
          <w:b w:val="0"/>
          <w:sz w:val="32"/>
          <w:szCs w:val="32"/>
          <w:highlight w:val="none"/>
        </w:rPr>
        <w:t>18</w:t>
      </w:r>
      <w:r>
        <w:rPr>
          <w:rFonts w:ascii="仿宋_GB2312" w:eastAsia="仿宋_GB2312"/>
          <w:b w:val="0"/>
          <w:sz w:val="32"/>
          <w:szCs w:val="32"/>
          <w:highlight w:val="none"/>
        </w:rPr>
        <w:t>个，全年预算数</w:t>
      </w:r>
      <w:r>
        <w:rPr>
          <w:rFonts w:hint="eastAsia" w:ascii="仿宋_GB2312" w:eastAsia="仿宋_GB2312"/>
          <w:b w:val="0"/>
          <w:sz w:val="32"/>
          <w:szCs w:val="32"/>
          <w:highlight w:val="none"/>
        </w:rPr>
        <w:t>10</w:t>
      </w:r>
      <w:r>
        <w:rPr>
          <w:rFonts w:ascii="仿宋_GB2312" w:eastAsia="仿宋_GB2312"/>
          <w:b w:val="0"/>
          <w:sz w:val="32"/>
          <w:szCs w:val="32"/>
          <w:highlight w:val="none"/>
        </w:rPr>
        <w:t>,</w:t>
      </w:r>
      <w:r>
        <w:rPr>
          <w:rFonts w:hint="eastAsia" w:ascii="仿宋_GB2312" w:eastAsia="仿宋_GB2312"/>
          <w:b w:val="0"/>
          <w:sz w:val="32"/>
          <w:szCs w:val="32"/>
          <w:highlight w:val="none"/>
        </w:rPr>
        <w:t>022.83</w:t>
      </w:r>
      <w:r>
        <w:rPr>
          <w:rFonts w:ascii="仿宋_GB2312" w:eastAsia="仿宋_GB2312"/>
          <w:b w:val="0"/>
          <w:sz w:val="32"/>
          <w:szCs w:val="32"/>
          <w:highlight w:val="none"/>
        </w:rPr>
        <w:t>万元，全年执行数</w:t>
      </w:r>
      <w:r>
        <w:rPr>
          <w:rFonts w:hint="eastAsia" w:ascii="仿宋_GB2312" w:eastAsia="仿宋_GB2312"/>
          <w:b w:val="0"/>
          <w:sz w:val="32"/>
          <w:szCs w:val="32"/>
          <w:highlight w:val="none"/>
        </w:rPr>
        <w:t>9</w:t>
      </w:r>
      <w:r>
        <w:rPr>
          <w:rFonts w:ascii="仿宋_GB2312" w:eastAsia="仿宋_GB2312"/>
          <w:b w:val="0"/>
          <w:sz w:val="32"/>
          <w:szCs w:val="32"/>
          <w:highlight w:val="none"/>
        </w:rPr>
        <w:t>,</w:t>
      </w:r>
      <w:r>
        <w:rPr>
          <w:rFonts w:hint="eastAsia" w:ascii="仿宋_GB2312" w:eastAsia="仿宋_GB2312"/>
          <w:b w:val="0"/>
          <w:sz w:val="32"/>
          <w:szCs w:val="32"/>
          <w:highlight w:val="none"/>
        </w:rPr>
        <w:t>987.75</w:t>
      </w:r>
      <w:r>
        <w:rPr>
          <w:rFonts w:ascii="仿宋_GB2312" w:eastAsia="仿宋_GB2312"/>
          <w:b w:val="0"/>
          <w:sz w:val="32"/>
          <w:szCs w:val="32"/>
          <w:highlight w:val="none"/>
        </w:rPr>
        <w:t>万元。预算绩效管理取</w:t>
      </w:r>
      <w:r>
        <w:rPr>
          <w:rFonts w:ascii="仿宋_GB2312" w:eastAsia="仿宋_GB2312"/>
          <w:b w:val="0"/>
          <w:sz w:val="32"/>
          <w:szCs w:val="32"/>
        </w:rPr>
        <w:t>得的成效：</w:t>
      </w:r>
      <w:r>
        <w:rPr>
          <w:rFonts w:hint="eastAsia" w:ascii="仿宋_GB2312" w:eastAsia="仿宋_GB2312"/>
          <w:b w:val="0"/>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eastAsia="仿宋_GB2312"/>
          <w:b w:val="0"/>
          <w:sz w:val="32"/>
          <w:szCs w:val="32"/>
          <w:lang w:eastAsia="zh-CN"/>
        </w:rPr>
        <w:t>。</w:t>
      </w:r>
      <w:r>
        <w:rPr>
          <w:rFonts w:ascii="仿宋_GB2312" w:eastAsia="仿宋_GB2312"/>
          <w:b w:val="0"/>
          <w:sz w:val="32"/>
          <w:szCs w:val="32"/>
        </w:rPr>
        <w:t>发现</w:t>
      </w:r>
      <w:r>
        <w:rPr>
          <w:rFonts w:hint="eastAsia" w:ascii="仿宋_GB2312" w:eastAsia="仿宋_GB2312"/>
          <w:b w:val="0"/>
          <w:sz w:val="32"/>
          <w:szCs w:val="32"/>
        </w:rPr>
        <w:t>的问题及原因：一是部分业务人员绩效管理意识有待增强，未能全面深入认识理解绩效管理工作的意义。二是绩效管理经验不足，预算绩效管理工作有待进一步落实。下一步改进措施：一是加强学习和业务工作能力的提高，强化绩效理念；二是加大绩效工作宣传力度，强化绩效理念。三是完善绩效指标，提高整体绩效目标质量；四是继续完善预算绩效管理相关工作制度，建立全过程预算绩效管理链条，有效贯彻落实全面实施绩效管理的精神。</w:t>
      </w:r>
      <w:r>
        <w:rPr>
          <w:rFonts w:ascii="仿宋_GB2312" w:eastAsia="仿宋_GB2312"/>
          <w:b w:val="0"/>
          <w:sz w:val="32"/>
          <w:szCs w:val="32"/>
        </w:rPr>
        <w:t>具体附部门整体支出绩效自评表，项目支出绩效自评表和部门评价报告。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本部门无其他需说明事项。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580" w:lineRule="exact"/>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“三公”</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80" w:lineRule="exact"/>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“三公”</w:t>
      </w:r>
      <w:r>
        <w:rPr>
          <w:rFonts w:ascii="仿宋_GB2312" w:eastAsia="仿宋_GB2312"/>
          <w:b w:val="0"/>
          <w:sz w:val="32"/>
          <w:szCs w:val="32"/>
        </w:rPr>
        <w:t>经</w:t>
      </w:r>
      <w:bookmarkStart w:id="0" w:name="_GoBack"/>
      <w:bookmarkEnd w:id="0"/>
      <w:r>
        <w:rPr>
          <w:rFonts w:ascii="仿宋_GB2312" w:eastAsia="仿宋_GB2312"/>
          <w:b w:val="0"/>
          <w:sz w:val="32"/>
          <w:szCs w:val="32"/>
        </w:rPr>
        <w:t>费支出决算表》</w:t>
      </w:r>
    </w:p>
    <w:sectPr>
      <w:pgSz w:w="11906" w:h="16838"/>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011C7"/>
    <w:multiLevelType w:val="singleLevel"/>
    <w:tmpl w:val="964011C7"/>
    <w:lvl w:ilvl="0" w:tentative="0">
      <w:start w:val="1"/>
      <w:numFmt w:val="decimal"/>
      <w:lvlText w:val="%1."/>
      <w:lvlJc w:val="left"/>
      <w:pPr>
        <w:tabs>
          <w:tab w:val="left" w:pos="312"/>
        </w:tabs>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MGYxYjQ3YjBjODIwZWY4OWZkOWYxYzAzOGNlOTcifQ=="/>
  </w:docVars>
  <w:rsids>
    <w:rsidRoot w:val="00000000"/>
    <w:rsid w:val="001717B7"/>
    <w:rsid w:val="0E3F6813"/>
    <w:rsid w:val="146C5CE8"/>
    <w:rsid w:val="20B01153"/>
    <w:rsid w:val="2C35005E"/>
    <w:rsid w:val="2DFE26D1"/>
    <w:rsid w:val="39620DC7"/>
    <w:rsid w:val="3C195F9E"/>
    <w:rsid w:val="46552F18"/>
    <w:rsid w:val="5A2520D6"/>
    <w:rsid w:val="65B439CA"/>
    <w:rsid w:val="6952245C"/>
    <w:rsid w:val="6D9701B4"/>
    <w:rsid w:val="767970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20</Pages>
  <Words>7761</Words>
  <Characters>8842</Characters>
  <TotalTime>1009</TotalTime>
  <ScaleCrop>false</ScaleCrop>
  <LinksUpToDate>false</LinksUpToDate>
  <CharactersWithSpaces>8852</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2025-08-12T13:01:00Z</dcterms:created>
  <dc:creator>Administrator</dc:creator>
  <cp:lastModifiedBy>热依珊·居来提(2023212507)</cp:lastModifiedBy>
  <cp:lastPrinted>2025-09-02T11:44:04Z</cp:lastPrinted>
  <dcterms:modified xsi:type="dcterms:W3CDTF">2025-09-03T04:08:53Z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eyJoZGlkIjoiMGIxZTI3ODM4ZmVjOGE5NDFiYmE3OTRiMjQ5OTEyNzIiLCJ1c2VySWQiOiIyNTk4NTcxMjUifQ==</vt:lpwstr>
  </property>
  <property fmtid="{D5CDD505-2E9C-101B-9397-08002B2CF9AE}" pid="3" name="KSOProductBuildVer">
    <vt:lpwstr>2052-12.1.0.15712</vt:lpwstr>
  </property>
  <property fmtid="{D5CDD505-2E9C-101B-9397-08002B2CF9AE}" pid="4" name="ICV">
    <vt:lpwstr>B51E685F5FAC4F379A7B85393E988774_13</vt:lpwstr>
  </property>
</Properties>
</file>