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94B5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宋体" w:eastAsia="宋体"/>
          <w:color w:val="auto"/>
          <w:w w:val="100"/>
          <w:sz w:val="32"/>
          <w:szCs w:val="32"/>
        </w:rPr>
      </w:pPr>
    </w:p>
    <w:p w14:paraId="2F69DD9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880" w:firstLineChars="200"/>
        <w:jc w:val="left"/>
        <w:textAlignment w:val="auto"/>
        <w:rPr>
          <w:rFonts w:ascii="宋体" w:eastAsia="宋体"/>
          <w:color w:val="auto"/>
          <w:w w:val="100"/>
          <w:sz w:val="44"/>
          <w:szCs w:val="44"/>
        </w:rPr>
      </w:pPr>
    </w:p>
    <w:p w14:paraId="74B3E9E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880" w:firstLineChars="200"/>
        <w:jc w:val="left"/>
        <w:textAlignment w:val="auto"/>
        <w:rPr>
          <w:rFonts w:ascii="宋体" w:eastAsia="宋体"/>
          <w:color w:val="auto"/>
          <w:w w:val="100"/>
          <w:sz w:val="44"/>
          <w:szCs w:val="44"/>
        </w:rPr>
      </w:pPr>
    </w:p>
    <w:p w14:paraId="5AC27EF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outlineLvl w:val="0"/>
        <w:rPr>
          <w:rFonts w:hint="eastAsia" w:ascii="方正小标宋简体" w:hAnsi="方正小标宋简体" w:eastAsia="方正小标宋简体" w:cs="方正小标宋简体"/>
          <w:b w:val="0"/>
          <w:color w:val="auto"/>
          <w:w w:val="100"/>
          <w:sz w:val="44"/>
          <w:szCs w:val="44"/>
        </w:rPr>
      </w:pPr>
    </w:p>
    <w:p w14:paraId="38423DA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hint="eastAsia" w:ascii="方正小标宋简体" w:hAnsi="方正小标宋简体" w:eastAsia="方正小标宋简体" w:cs="方正小标宋简体"/>
          <w:b w:val="0"/>
          <w:color w:val="auto"/>
          <w:w w:val="100"/>
          <w:sz w:val="44"/>
          <w:szCs w:val="44"/>
        </w:rPr>
      </w:pPr>
      <w:r>
        <w:rPr>
          <w:rFonts w:hint="eastAsia" w:ascii="方正小标宋简体" w:hAnsi="方正小标宋简体" w:eastAsia="方正小标宋简体" w:cs="方正小标宋简体"/>
          <w:b w:val="0"/>
          <w:color w:val="auto"/>
          <w:w w:val="100"/>
          <w:sz w:val="44"/>
          <w:szCs w:val="44"/>
        </w:rPr>
        <w:t>新疆维吾尔自治区军粮供应服务中心</w:t>
      </w:r>
    </w:p>
    <w:p w14:paraId="07C3D91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hint="eastAsia" w:ascii="方正小标宋简体" w:hAnsi="方正小标宋简体" w:eastAsia="方正小标宋简体" w:cs="方正小标宋简体"/>
          <w:color w:val="auto"/>
          <w:w w:val="100"/>
          <w:sz w:val="44"/>
          <w:szCs w:val="44"/>
        </w:rPr>
      </w:pPr>
      <w:r>
        <w:rPr>
          <w:rFonts w:hint="eastAsia" w:ascii="方正小标宋简体" w:hAnsi="方正小标宋简体" w:eastAsia="方正小标宋简体" w:cs="方正小标宋简体"/>
          <w:b w:val="0"/>
          <w:color w:val="auto"/>
          <w:w w:val="100"/>
          <w:sz w:val="44"/>
          <w:szCs w:val="44"/>
        </w:rPr>
        <w:t>2024年度部门决算公开说明</w:t>
      </w:r>
    </w:p>
    <w:p w14:paraId="795860CA">
      <w:pPr>
        <w:keepNext w:val="0"/>
        <w:keepLines w:val="0"/>
        <w:pageBreakBefore w:val="0"/>
        <w:widowControl/>
        <w:kinsoku/>
        <w:wordWrap/>
        <w:overflowPunct/>
        <w:topLinePunct w:val="0"/>
        <w:autoSpaceDE/>
        <w:autoSpaceDN/>
        <w:bidi w:val="0"/>
        <w:adjustRightInd/>
        <w:snapToGrid/>
        <w:spacing w:line="560" w:lineRule="exact"/>
        <w:ind w:firstLine="880" w:firstLineChars="200"/>
        <w:textAlignment w:val="auto"/>
        <w:rPr>
          <w:rFonts w:hint="eastAsia" w:ascii="方正小标宋简体" w:hAnsi="方正小标宋简体" w:eastAsia="方正小标宋简体" w:cs="方正小标宋简体"/>
          <w:color w:val="auto"/>
          <w:w w:val="100"/>
          <w:sz w:val="44"/>
          <w:szCs w:val="44"/>
        </w:rPr>
      </w:pPr>
      <w:r>
        <w:rPr>
          <w:rFonts w:hint="eastAsia" w:ascii="方正小标宋简体" w:hAnsi="方正小标宋简体" w:eastAsia="方正小标宋简体" w:cs="方正小标宋简体"/>
          <w:b w:val="0"/>
          <w:color w:val="auto"/>
          <w:w w:val="100"/>
          <w:sz w:val="44"/>
          <w:szCs w:val="44"/>
        </w:rPr>
        <w:br w:type="page"/>
      </w:r>
    </w:p>
    <w:p w14:paraId="30FA48D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center"/>
        <w:textAlignment w:val="auto"/>
        <w:rPr>
          <w:rFonts w:ascii="黑体" w:eastAsia="黑体"/>
          <w:color w:val="auto"/>
          <w:w w:val="100"/>
          <w:sz w:val="32"/>
          <w:szCs w:val="32"/>
        </w:rPr>
      </w:pPr>
      <w:r>
        <w:rPr>
          <w:rFonts w:ascii="黑体" w:eastAsia="黑体"/>
          <w:b/>
          <w:color w:val="auto"/>
          <w:w w:val="100"/>
          <w:sz w:val="32"/>
          <w:szCs w:val="32"/>
        </w:rPr>
        <w:t>目</w:t>
      </w:r>
      <w:r>
        <w:rPr>
          <w:rFonts w:hint="eastAsia" w:ascii="黑体" w:eastAsia="黑体"/>
          <w:b/>
          <w:color w:val="auto"/>
          <w:w w:val="100"/>
          <w:sz w:val="32"/>
          <w:szCs w:val="32"/>
          <w:lang w:val="en-US" w:eastAsia="zh-CN"/>
        </w:rPr>
        <w:t xml:space="preserve">  </w:t>
      </w:r>
      <w:r>
        <w:rPr>
          <w:rFonts w:ascii="黑体" w:eastAsia="黑体"/>
          <w:b/>
          <w:color w:val="auto"/>
          <w:w w:val="100"/>
          <w:sz w:val="32"/>
          <w:szCs w:val="32"/>
        </w:rPr>
        <w:t>录</w:t>
      </w:r>
    </w:p>
    <w:p w14:paraId="3AFDFDE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第一部分</w:t>
      </w:r>
      <w:r>
        <w:rPr>
          <w:rFonts w:hint="eastAsia" w:ascii="仿宋_GB2312" w:eastAsia="仿宋_GB2312"/>
          <w:b/>
          <w:color w:val="auto"/>
          <w:w w:val="100"/>
          <w:sz w:val="32"/>
          <w:szCs w:val="32"/>
          <w:lang w:val="en-US" w:eastAsia="zh-CN"/>
        </w:rPr>
        <w:t xml:space="preserve"> </w:t>
      </w:r>
      <w:r>
        <w:rPr>
          <w:rFonts w:ascii="仿宋_GB2312" w:eastAsia="仿宋_GB2312"/>
          <w:b/>
          <w:color w:val="auto"/>
          <w:w w:val="100"/>
          <w:sz w:val="32"/>
          <w:szCs w:val="32"/>
        </w:rPr>
        <w:t>单位概况</w:t>
      </w:r>
    </w:p>
    <w:p w14:paraId="7822F57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一、主要职能</w:t>
      </w:r>
    </w:p>
    <w:p w14:paraId="52812F5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二、机构设置及人员情况</w:t>
      </w:r>
    </w:p>
    <w:p w14:paraId="486E261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第二部分</w:t>
      </w:r>
      <w:r>
        <w:rPr>
          <w:rFonts w:hint="eastAsia" w:ascii="仿宋_GB2312" w:eastAsia="仿宋_GB2312"/>
          <w:b/>
          <w:color w:val="auto"/>
          <w:w w:val="100"/>
          <w:sz w:val="32"/>
          <w:szCs w:val="32"/>
          <w:lang w:val="en-US" w:eastAsia="zh-CN"/>
        </w:rPr>
        <w:t xml:space="preserve"> </w:t>
      </w:r>
      <w:r>
        <w:rPr>
          <w:rFonts w:ascii="仿宋_GB2312" w:eastAsia="仿宋_GB2312"/>
          <w:b/>
          <w:color w:val="auto"/>
          <w:w w:val="100"/>
          <w:sz w:val="32"/>
          <w:szCs w:val="32"/>
        </w:rPr>
        <w:t>部门决算情况说明</w:t>
      </w:r>
    </w:p>
    <w:p w14:paraId="0AA1E88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一、收入支出决算总体情况说明</w:t>
      </w:r>
    </w:p>
    <w:p w14:paraId="5A5EF04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二、收入决算情况说明</w:t>
      </w:r>
    </w:p>
    <w:p w14:paraId="4C4A6BE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三、支出决算情况说明</w:t>
      </w:r>
    </w:p>
    <w:p w14:paraId="3CC1658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四、财政拨款收入支出决算总体情况说明</w:t>
      </w:r>
    </w:p>
    <w:p w14:paraId="6A5BDFE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五、一般公共预算财政拨款支出决算情况说明</w:t>
      </w:r>
    </w:p>
    <w:p w14:paraId="2369DD6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（一）一般公共预算财政拨款支出决算总体情况</w:t>
      </w:r>
    </w:p>
    <w:p w14:paraId="799055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（二）一般公共预算财政拨款支出决算结构情况</w:t>
      </w:r>
    </w:p>
    <w:p w14:paraId="4EF9FCF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（三）一般公共预算财政拨款支出决算具体情况</w:t>
      </w:r>
    </w:p>
    <w:p w14:paraId="11A0BA7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六、一般公共预算财政拨款基本支出决算情况说明</w:t>
      </w:r>
    </w:p>
    <w:p w14:paraId="698B89C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七、政府性基金预算财政拨款收入支出决算情况说明</w:t>
      </w:r>
    </w:p>
    <w:p w14:paraId="315905C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八、国有资本经营预算财政拨款收入支出决算情况说明</w:t>
      </w:r>
    </w:p>
    <w:p w14:paraId="7B5806B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九、财政拨款</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三公</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经费支出决算情况说明</w:t>
      </w:r>
    </w:p>
    <w:p w14:paraId="489E4F4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十、其他重要事项的情况说明</w:t>
      </w:r>
    </w:p>
    <w:p w14:paraId="7F6B68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（一）机关运行经费及公用经费支出情况</w:t>
      </w:r>
    </w:p>
    <w:p w14:paraId="6841A63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（二）政府采购情况</w:t>
      </w:r>
    </w:p>
    <w:p w14:paraId="367E8A0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（三）国有资产占用情况说明</w:t>
      </w:r>
    </w:p>
    <w:p w14:paraId="5BF6EB5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十一、预算绩效的情况说明</w:t>
      </w:r>
    </w:p>
    <w:p w14:paraId="701F430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十二、其他需说明的事项</w:t>
      </w:r>
    </w:p>
    <w:p w14:paraId="0628089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第三部分</w:t>
      </w:r>
      <w:r>
        <w:rPr>
          <w:rFonts w:hint="eastAsia" w:ascii="仿宋_GB2312" w:eastAsia="仿宋_GB2312"/>
          <w:b/>
          <w:color w:val="auto"/>
          <w:w w:val="100"/>
          <w:sz w:val="32"/>
          <w:szCs w:val="32"/>
          <w:lang w:val="en-US" w:eastAsia="zh-CN"/>
        </w:rPr>
        <w:t xml:space="preserve"> </w:t>
      </w:r>
      <w:r>
        <w:rPr>
          <w:rFonts w:ascii="仿宋_GB2312" w:eastAsia="仿宋_GB2312"/>
          <w:b/>
          <w:color w:val="auto"/>
          <w:w w:val="100"/>
          <w:sz w:val="32"/>
          <w:szCs w:val="32"/>
        </w:rPr>
        <w:t>专业名词解释</w:t>
      </w:r>
    </w:p>
    <w:p w14:paraId="62AD7F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第四部分</w:t>
      </w:r>
      <w:r>
        <w:rPr>
          <w:rFonts w:hint="eastAsia" w:ascii="仿宋_GB2312" w:eastAsia="仿宋_GB2312"/>
          <w:b/>
          <w:color w:val="auto"/>
          <w:w w:val="100"/>
          <w:sz w:val="32"/>
          <w:szCs w:val="32"/>
          <w:lang w:val="en-US" w:eastAsia="zh-CN"/>
        </w:rPr>
        <w:t xml:space="preserve"> </w:t>
      </w:r>
      <w:r>
        <w:rPr>
          <w:rFonts w:ascii="仿宋_GB2312" w:eastAsia="仿宋_GB2312"/>
          <w:b/>
          <w:color w:val="auto"/>
          <w:w w:val="100"/>
          <w:sz w:val="32"/>
          <w:szCs w:val="32"/>
        </w:rPr>
        <w:t>部门决算报表（见附表）</w:t>
      </w:r>
    </w:p>
    <w:p w14:paraId="131B7BB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一、《收入支出决算总表》</w:t>
      </w:r>
    </w:p>
    <w:p w14:paraId="4DF00AB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二、《收入决算表》</w:t>
      </w:r>
    </w:p>
    <w:p w14:paraId="2D3DFDF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三、《支出决算表》</w:t>
      </w:r>
    </w:p>
    <w:p w14:paraId="7E2D95B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四、《财政拨款收入支出决算总表》</w:t>
      </w:r>
    </w:p>
    <w:p w14:paraId="6705853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五、《一般公共预算财政拨款支出决算表》</w:t>
      </w:r>
    </w:p>
    <w:p w14:paraId="3F1F6E2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六、《一般公共预算财政拨款基本支出决算表》</w:t>
      </w:r>
    </w:p>
    <w:p w14:paraId="4621E79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七、《政府性基金预算财政拨款收入支出决算表》</w:t>
      </w:r>
    </w:p>
    <w:p w14:paraId="22D291C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八、《国有资本经营预算财政拨款收入支出决算表》</w:t>
      </w:r>
    </w:p>
    <w:p w14:paraId="6C1250F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九、《财政拨款</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三公</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经费支出决算表》</w:t>
      </w:r>
    </w:p>
    <w:p w14:paraId="0B8D797C">
      <w:pPr>
        <w:keepNext w:val="0"/>
        <w:keepLines w:val="0"/>
        <w:pageBreakBefore w:val="0"/>
        <w:widowControl/>
        <w:kinsoku/>
        <w:wordWrap/>
        <w:overflowPunct/>
        <w:topLinePunct w:val="0"/>
        <w:autoSpaceDE/>
        <w:autoSpaceDN/>
        <w:bidi w:val="0"/>
        <w:adjustRightInd/>
        <w:snapToGrid/>
        <w:spacing w:line="560" w:lineRule="exact"/>
        <w:ind w:firstLine="0" w:firstLineChars="200"/>
        <w:textAlignment w:val="auto"/>
        <w:rPr>
          <w:color w:val="auto"/>
          <w:w w:val="100"/>
        </w:rPr>
      </w:pPr>
      <w:r>
        <w:rPr>
          <w:b w:val="0"/>
          <w:color w:val="auto"/>
          <w:w w:val="100"/>
          <w:sz w:val="0"/>
          <w:szCs w:val="0"/>
        </w:rPr>
        <w:br w:type="page"/>
      </w:r>
    </w:p>
    <w:p w14:paraId="32B1CC2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center"/>
        <w:textAlignment w:val="auto"/>
        <w:outlineLvl w:val="0"/>
        <w:rPr>
          <w:rFonts w:ascii="黑体" w:eastAsia="黑体"/>
          <w:color w:val="auto"/>
          <w:w w:val="100"/>
          <w:sz w:val="32"/>
          <w:szCs w:val="32"/>
        </w:rPr>
      </w:pPr>
      <w:r>
        <w:rPr>
          <w:rFonts w:ascii="黑体" w:eastAsia="黑体"/>
          <w:b w:val="0"/>
          <w:color w:val="auto"/>
          <w:w w:val="100"/>
          <w:sz w:val="32"/>
          <w:szCs w:val="32"/>
        </w:rPr>
        <w:t>第一部分</w:t>
      </w:r>
      <w:r>
        <w:rPr>
          <w:rFonts w:hint="eastAsia" w:ascii="黑体" w:eastAsia="黑体"/>
          <w:b w:val="0"/>
          <w:color w:val="auto"/>
          <w:w w:val="100"/>
          <w:sz w:val="32"/>
          <w:szCs w:val="32"/>
          <w:lang w:val="en-US" w:eastAsia="zh-CN"/>
        </w:rPr>
        <w:t xml:space="preserve"> </w:t>
      </w:r>
      <w:r>
        <w:rPr>
          <w:rFonts w:ascii="黑体" w:eastAsia="黑体"/>
          <w:b w:val="0"/>
          <w:color w:val="auto"/>
          <w:w w:val="100"/>
          <w:sz w:val="32"/>
          <w:szCs w:val="32"/>
        </w:rPr>
        <w:t>单位概况</w:t>
      </w:r>
    </w:p>
    <w:p w14:paraId="5FB0C9C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一、主要职能</w:t>
      </w:r>
    </w:p>
    <w:p w14:paraId="7A6A78E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hint="eastAsia" w:ascii="仿宋_GB2312" w:eastAsia="仿宋_GB2312"/>
          <w:color w:val="auto"/>
          <w:w w:val="100"/>
          <w:sz w:val="32"/>
          <w:szCs w:val="32"/>
        </w:rPr>
      </w:pPr>
      <w:r>
        <w:rPr>
          <w:rFonts w:hint="eastAsia" w:ascii="仿宋_GB2312" w:eastAsia="仿宋_GB2312"/>
          <w:color w:val="auto"/>
          <w:w w:val="100"/>
          <w:sz w:val="32"/>
          <w:szCs w:val="32"/>
        </w:rPr>
        <w:t>按照国家和自治区军粮供应政策，管理全区军粮事务，保障军粮供应，承担军粮筹措、配送及军粮设施建设。</w:t>
      </w:r>
    </w:p>
    <w:p w14:paraId="7AA7ECC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二、机构设置及人员情况</w:t>
      </w:r>
    </w:p>
    <w:p w14:paraId="70631DB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color w:val="auto"/>
          <w:w w:val="100"/>
          <w:sz w:val="32"/>
          <w:szCs w:val="32"/>
          <w:lang w:eastAsia="zh-CN"/>
        </w:rPr>
      </w:pPr>
      <w:r>
        <w:rPr>
          <w:rFonts w:ascii="仿宋_GB2312" w:eastAsia="仿宋_GB2312"/>
          <w:b w:val="0"/>
          <w:color w:val="auto"/>
          <w:w w:val="100"/>
          <w:sz w:val="32"/>
          <w:szCs w:val="32"/>
        </w:rPr>
        <w:t>新疆维吾尔自治区军粮供应服务中心2024年度，实有人数10人，其中：在职人员7人，增加1人；离休人员0人，增加</w:t>
      </w:r>
      <w:r>
        <w:rPr>
          <w:rFonts w:hint="eastAsia" w:ascii="仿宋_GB2312" w:eastAsia="仿宋_GB2312"/>
          <w:b w:val="0"/>
          <w:color w:val="auto"/>
          <w:w w:val="100"/>
          <w:sz w:val="32"/>
          <w:szCs w:val="32"/>
          <w:lang w:val="en-US" w:eastAsia="zh-CN"/>
        </w:rPr>
        <w:t>0</w:t>
      </w:r>
      <w:r>
        <w:rPr>
          <w:rFonts w:ascii="仿宋_GB2312" w:eastAsia="仿宋_GB2312"/>
          <w:b w:val="0"/>
          <w:color w:val="auto"/>
          <w:w w:val="100"/>
          <w:sz w:val="32"/>
          <w:szCs w:val="32"/>
        </w:rPr>
        <w:t>人；退休人员3人，增加</w:t>
      </w:r>
      <w:r>
        <w:rPr>
          <w:rFonts w:hint="eastAsia" w:ascii="仿宋_GB2312" w:eastAsia="仿宋_GB2312"/>
          <w:b w:val="0"/>
          <w:color w:val="auto"/>
          <w:w w:val="100"/>
          <w:sz w:val="32"/>
          <w:szCs w:val="32"/>
          <w:lang w:val="en-US" w:eastAsia="zh-CN"/>
        </w:rPr>
        <w:t>0</w:t>
      </w:r>
      <w:r>
        <w:rPr>
          <w:rFonts w:ascii="仿宋_GB2312" w:eastAsia="仿宋_GB2312"/>
          <w:b w:val="0"/>
          <w:color w:val="auto"/>
          <w:w w:val="100"/>
          <w:sz w:val="32"/>
          <w:szCs w:val="32"/>
        </w:rPr>
        <w:t>人</w:t>
      </w:r>
      <w:r>
        <w:rPr>
          <w:rFonts w:hint="eastAsia" w:ascii="仿宋_GB2312" w:eastAsia="仿宋_GB2312"/>
          <w:b w:val="0"/>
          <w:color w:val="auto"/>
          <w:w w:val="100"/>
          <w:sz w:val="32"/>
          <w:szCs w:val="32"/>
          <w:lang w:eastAsia="zh-CN"/>
        </w:rPr>
        <w:t>。</w:t>
      </w:r>
    </w:p>
    <w:p w14:paraId="61AFE2C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新疆维吾尔自治区军粮供应服务中心无下属预算单位，下设</w:t>
      </w:r>
      <w:r>
        <w:rPr>
          <w:rFonts w:hint="eastAsia" w:ascii="仿宋_GB2312" w:eastAsia="仿宋_GB2312"/>
          <w:b w:val="0"/>
          <w:color w:val="auto"/>
          <w:w w:val="100"/>
          <w:sz w:val="32"/>
          <w:szCs w:val="32"/>
          <w:lang w:val="en-US" w:eastAsia="zh-CN"/>
        </w:rPr>
        <w:t>2</w:t>
      </w:r>
      <w:r>
        <w:rPr>
          <w:rFonts w:ascii="仿宋_GB2312" w:eastAsia="仿宋_GB2312"/>
          <w:b w:val="0"/>
          <w:color w:val="auto"/>
          <w:w w:val="100"/>
          <w:sz w:val="32"/>
          <w:szCs w:val="32"/>
        </w:rPr>
        <w:t>个</w:t>
      </w:r>
      <w:r>
        <w:rPr>
          <w:rFonts w:hint="eastAsia" w:ascii="仿宋_GB2312" w:eastAsia="仿宋_GB2312"/>
          <w:b w:val="0"/>
          <w:color w:val="auto"/>
          <w:w w:val="100"/>
          <w:sz w:val="32"/>
          <w:szCs w:val="32"/>
          <w:lang w:val="en-US" w:eastAsia="zh-CN"/>
        </w:rPr>
        <w:t>科室</w:t>
      </w:r>
      <w:r>
        <w:rPr>
          <w:rFonts w:ascii="仿宋_GB2312" w:eastAsia="仿宋_GB2312"/>
          <w:b w:val="0"/>
          <w:color w:val="auto"/>
          <w:w w:val="100"/>
          <w:sz w:val="32"/>
          <w:szCs w:val="32"/>
        </w:rPr>
        <w:t>，分别是：</w:t>
      </w:r>
      <w:r>
        <w:rPr>
          <w:rFonts w:hint="eastAsia" w:ascii="仿宋_GB2312" w:eastAsia="仿宋_GB2312"/>
          <w:b w:val="0"/>
          <w:color w:val="auto"/>
          <w:w w:val="100"/>
          <w:sz w:val="32"/>
          <w:szCs w:val="32"/>
          <w:lang w:eastAsia="zh-CN"/>
        </w:rPr>
        <w:t>业务</w:t>
      </w:r>
      <w:r>
        <w:rPr>
          <w:rFonts w:hint="eastAsia" w:ascii="仿宋_GB2312" w:eastAsia="仿宋_GB2312"/>
          <w:b w:val="0"/>
          <w:color w:val="auto"/>
          <w:w w:val="100"/>
          <w:sz w:val="32"/>
          <w:szCs w:val="32"/>
          <w:lang w:val="en-US" w:eastAsia="zh-CN"/>
        </w:rPr>
        <w:t>科</w:t>
      </w:r>
      <w:r>
        <w:rPr>
          <w:rFonts w:hint="eastAsia" w:ascii="仿宋_GB2312" w:eastAsia="仿宋_GB2312"/>
          <w:b w:val="0"/>
          <w:color w:val="auto"/>
          <w:w w:val="100"/>
          <w:sz w:val="32"/>
          <w:szCs w:val="32"/>
          <w:lang w:eastAsia="zh-CN"/>
        </w:rPr>
        <w:t>、财务</w:t>
      </w:r>
      <w:r>
        <w:rPr>
          <w:rFonts w:hint="eastAsia" w:ascii="仿宋_GB2312" w:eastAsia="仿宋_GB2312"/>
          <w:b w:val="0"/>
          <w:color w:val="auto"/>
          <w:w w:val="100"/>
          <w:sz w:val="32"/>
          <w:szCs w:val="32"/>
          <w:lang w:val="en-US" w:eastAsia="zh-CN"/>
        </w:rPr>
        <w:t>科</w:t>
      </w:r>
      <w:r>
        <w:rPr>
          <w:rFonts w:ascii="仿宋_GB2312" w:eastAsia="仿宋_GB2312"/>
          <w:b w:val="0"/>
          <w:color w:val="auto"/>
          <w:w w:val="100"/>
          <w:sz w:val="32"/>
          <w:szCs w:val="32"/>
        </w:rPr>
        <w:t>。</w:t>
      </w:r>
    </w:p>
    <w:p w14:paraId="5EA29D28">
      <w:pPr>
        <w:keepNext w:val="0"/>
        <w:keepLines w:val="0"/>
        <w:pageBreakBefore w:val="0"/>
        <w:widowControl/>
        <w:kinsoku/>
        <w:wordWrap/>
        <w:overflowPunct/>
        <w:topLinePunct w:val="0"/>
        <w:autoSpaceDE/>
        <w:autoSpaceDN/>
        <w:bidi w:val="0"/>
        <w:adjustRightInd/>
        <w:snapToGrid/>
        <w:spacing w:line="560" w:lineRule="exact"/>
        <w:ind w:firstLine="0" w:firstLineChars="200"/>
        <w:textAlignment w:val="auto"/>
        <w:rPr>
          <w:color w:val="auto"/>
          <w:w w:val="100"/>
        </w:rPr>
      </w:pPr>
      <w:r>
        <w:rPr>
          <w:b w:val="0"/>
          <w:color w:val="auto"/>
          <w:w w:val="100"/>
          <w:sz w:val="0"/>
          <w:szCs w:val="0"/>
        </w:rPr>
        <w:br w:type="page"/>
      </w:r>
    </w:p>
    <w:p w14:paraId="75F98B5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center"/>
        <w:textAlignment w:val="auto"/>
        <w:outlineLvl w:val="0"/>
        <w:rPr>
          <w:rFonts w:ascii="黑体" w:eastAsia="黑体"/>
          <w:color w:val="auto"/>
          <w:w w:val="100"/>
          <w:sz w:val="32"/>
          <w:szCs w:val="32"/>
        </w:rPr>
      </w:pPr>
      <w:r>
        <w:rPr>
          <w:rFonts w:ascii="黑体" w:eastAsia="黑体"/>
          <w:b w:val="0"/>
          <w:color w:val="auto"/>
          <w:w w:val="100"/>
          <w:sz w:val="32"/>
          <w:szCs w:val="32"/>
        </w:rPr>
        <w:t>第二部分</w:t>
      </w:r>
      <w:r>
        <w:rPr>
          <w:rFonts w:hint="eastAsia" w:ascii="黑体" w:eastAsia="黑体"/>
          <w:b w:val="0"/>
          <w:color w:val="auto"/>
          <w:w w:val="100"/>
          <w:sz w:val="32"/>
          <w:szCs w:val="32"/>
          <w:lang w:val="en-US" w:eastAsia="zh-CN"/>
        </w:rPr>
        <w:t xml:space="preserve"> </w:t>
      </w:r>
      <w:r>
        <w:rPr>
          <w:rFonts w:ascii="黑体" w:eastAsia="黑体"/>
          <w:b w:val="0"/>
          <w:color w:val="auto"/>
          <w:w w:val="100"/>
          <w:sz w:val="32"/>
          <w:szCs w:val="32"/>
        </w:rPr>
        <w:t>部门决算情况说明</w:t>
      </w:r>
    </w:p>
    <w:p w14:paraId="5FA8E17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一、收入支出决算总体情况说明</w:t>
      </w:r>
    </w:p>
    <w:p w14:paraId="1EA27E1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2024年度收入总计200.39万元，其中：本年收入合计194.48万元，使用非财政拨款结余（含专用结余）0.00万元，年初结转和结余5.91万元。</w:t>
      </w:r>
    </w:p>
    <w:p w14:paraId="0653881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2024年度支出总计200.39万元，其中：本年支出合计191.08万元，结余分配0.00万元，年末结转和结余9.31万元。</w:t>
      </w:r>
    </w:p>
    <w:p w14:paraId="22B75BD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收入支出总体与上年相比，减少84.62万元，下降29.69%，主要原因是：</w:t>
      </w:r>
      <w:r>
        <w:rPr>
          <w:rFonts w:hint="eastAsia" w:ascii="仿宋_GB2312" w:eastAsia="仿宋_GB2312"/>
          <w:b w:val="0"/>
          <w:color w:val="auto"/>
          <w:w w:val="100"/>
          <w:sz w:val="32"/>
          <w:szCs w:val="32"/>
        </w:rPr>
        <w:t>本年</w:t>
      </w:r>
      <w:r>
        <w:rPr>
          <w:rFonts w:hint="eastAsia" w:ascii="仿宋_GB2312" w:eastAsia="仿宋_GB2312"/>
          <w:b w:val="0"/>
          <w:color w:val="auto"/>
          <w:w w:val="100"/>
          <w:sz w:val="32"/>
          <w:szCs w:val="32"/>
          <w:lang w:val="en-US" w:eastAsia="zh-CN"/>
        </w:rPr>
        <w:t>减少信息化节点建设项目</w:t>
      </w:r>
      <w:r>
        <w:rPr>
          <w:rFonts w:ascii="仿宋_GB2312" w:eastAsia="仿宋_GB2312"/>
          <w:b w:val="0"/>
          <w:color w:val="auto"/>
          <w:w w:val="100"/>
          <w:sz w:val="32"/>
          <w:szCs w:val="32"/>
        </w:rPr>
        <w:t>。</w:t>
      </w:r>
    </w:p>
    <w:p w14:paraId="5D9023A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二、收入决算情况说明</w:t>
      </w:r>
    </w:p>
    <w:p w14:paraId="4840C18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本年收入194.48万元，其中：财政拨款收入192.51万元</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占98.99%；上级补助收入0.00万元</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占0.00%；事业收入0.00万元，占0.00%；经营收入0.00万元</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占0.00%；附属单位上缴收入0.00万元，占0.00%；其他收入1.97万元，占1.01%。</w:t>
      </w:r>
    </w:p>
    <w:p w14:paraId="5294B1C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三、支出决算情况说明</w:t>
      </w:r>
    </w:p>
    <w:p w14:paraId="220AB90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本年支出191.08万元，其中：基本支出151.08万元，占79.07%；项目支出40.00万元，占20.93%；上缴上级支出0.00万元，占0.00%；经营支出0.00万元，占0.00%；对附属单位补助支出0.00万元，占0.00%。</w:t>
      </w:r>
    </w:p>
    <w:p w14:paraId="5A2112E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四、财政拨款收入支出决算总体情况说明</w:t>
      </w:r>
    </w:p>
    <w:p w14:paraId="55389F6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2024年度财政拨款收入总计192.51万元，其中：年初财政拨款结转和结余0.00万元，本年财政拨款收入192.51万元。财政拨款支出总计192.51万元，其中：年末财政拨款结转和结余1.43万元，本年财政拨款支出191.08万元。</w:t>
      </w:r>
    </w:p>
    <w:p w14:paraId="25AE32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仿宋_GB2312" w:eastAsia="仿宋_GB2312"/>
          <w:color w:val="auto"/>
          <w:w w:val="100"/>
          <w:sz w:val="32"/>
          <w:szCs w:val="32"/>
          <w:lang w:val="en-US"/>
        </w:rPr>
      </w:pPr>
      <w:r>
        <w:rPr>
          <w:rFonts w:ascii="仿宋_GB2312" w:eastAsia="仿宋_GB2312"/>
          <w:b w:val="0"/>
          <w:color w:val="auto"/>
          <w:w w:val="100"/>
          <w:sz w:val="32"/>
          <w:szCs w:val="32"/>
        </w:rPr>
        <w:t>财政拨款收入支出总体与上年相比，减少85.26万元，下降30.69%，主要原因是：</w:t>
      </w:r>
      <w:r>
        <w:rPr>
          <w:rFonts w:hint="eastAsia" w:ascii="仿宋_GB2312" w:eastAsia="仿宋_GB2312"/>
          <w:b w:val="0"/>
          <w:color w:val="auto"/>
          <w:w w:val="100"/>
          <w:sz w:val="32"/>
          <w:szCs w:val="32"/>
        </w:rPr>
        <w:t>本年</w:t>
      </w:r>
      <w:r>
        <w:rPr>
          <w:rFonts w:hint="eastAsia" w:ascii="仿宋_GB2312" w:eastAsia="仿宋_GB2312"/>
          <w:b w:val="0"/>
          <w:color w:val="auto"/>
          <w:w w:val="100"/>
          <w:sz w:val="32"/>
          <w:szCs w:val="32"/>
          <w:lang w:val="en-US" w:eastAsia="zh-CN"/>
        </w:rPr>
        <w:t>减少信息化节点建设项目</w:t>
      </w:r>
      <w:r>
        <w:rPr>
          <w:rFonts w:ascii="仿宋_GB2312" w:eastAsia="仿宋_GB2312"/>
          <w:b w:val="0"/>
          <w:color w:val="auto"/>
          <w:w w:val="100"/>
          <w:sz w:val="32"/>
          <w:szCs w:val="32"/>
        </w:rPr>
        <w:t>。与年初预算相比，年初预</w:t>
      </w:r>
      <w:bookmarkStart w:id="0" w:name="_GoBack"/>
      <w:bookmarkEnd w:id="0"/>
      <w:r>
        <w:rPr>
          <w:rFonts w:ascii="仿宋_GB2312" w:eastAsia="仿宋_GB2312"/>
          <w:b w:val="0"/>
          <w:color w:val="auto"/>
          <w:w w:val="100"/>
          <w:sz w:val="32"/>
          <w:szCs w:val="32"/>
        </w:rPr>
        <w:t>算数287.18万元，决算数192.51万元，预决算差异率-32.97%，主要原因是：</w:t>
      </w:r>
      <w:r>
        <w:rPr>
          <w:rFonts w:hint="eastAsia" w:ascii="仿宋_GB2312" w:hAnsi="仿宋_GB2312" w:eastAsia="仿宋_GB2312" w:cs="仿宋_GB2312"/>
          <w:color w:val="auto"/>
          <w:spacing w:val="0"/>
          <w:w w:val="100"/>
          <w:sz w:val="32"/>
          <w:szCs w:val="32"/>
          <w:highlight w:val="none"/>
          <w:lang w:val="en-US" w:eastAsia="zh-CN"/>
        </w:rPr>
        <w:t>年中调减维修改造项目经费，直接转移支付各地州。</w:t>
      </w:r>
    </w:p>
    <w:p w14:paraId="7C722BF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五、一般公共预算财政拨款支出决算情况说明</w:t>
      </w:r>
    </w:p>
    <w:p w14:paraId="000C9C5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（一）一般公共预算财政拨款支出决算总体情况</w:t>
      </w:r>
    </w:p>
    <w:p w14:paraId="2264340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2024年度一般公共预算财政拨款支出191.08万元，占本年支出合计的100.00%。与上年相比，减少86.69万元，下降31.21%，主要原因是：</w:t>
      </w:r>
      <w:r>
        <w:rPr>
          <w:rFonts w:hint="eastAsia" w:ascii="仿宋_GB2312" w:eastAsia="仿宋_GB2312"/>
          <w:b w:val="0"/>
          <w:color w:val="auto"/>
          <w:w w:val="100"/>
          <w:sz w:val="32"/>
          <w:szCs w:val="32"/>
        </w:rPr>
        <w:t>本年</w:t>
      </w:r>
      <w:r>
        <w:rPr>
          <w:rFonts w:hint="eastAsia" w:ascii="仿宋_GB2312" w:eastAsia="仿宋_GB2312"/>
          <w:b w:val="0"/>
          <w:color w:val="auto"/>
          <w:w w:val="100"/>
          <w:sz w:val="32"/>
          <w:szCs w:val="32"/>
          <w:lang w:val="en-US" w:eastAsia="zh-CN"/>
        </w:rPr>
        <w:t>减少信息化节点建设项目</w:t>
      </w:r>
      <w:r>
        <w:rPr>
          <w:rFonts w:ascii="仿宋_GB2312" w:eastAsia="仿宋_GB2312"/>
          <w:b w:val="0"/>
          <w:color w:val="auto"/>
          <w:w w:val="100"/>
          <w:sz w:val="32"/>
          <w:szCs w:val="32"/>
        </w:rPr>
        <w:t>。与年初预算相比，年初预算数287.18万元，决算数191.08万元，预决算差异率-33.46%，主要原因是：</w:t>
      </w:r>
      <w:r>
        <w:rPr>
          <w:rFonts w:hint="eastAsia" w:ascii="仿宋_GB2312" w:hAnsi="仿宋_GB2312" w:eastAsia="仿宋_GB2312" w:cs="仿宋_GB2312"/>
          <w:color w:val="auto"/>
          <w:spacing w:val="0"/>
          <w:w w:val="100"/>
          <w:sz w:val="32"/>
          <w:szCs w:val="32"/>
          <w:highlight w:val="none"/>
          <w:lang w:val="en-US" w:eastAsia="zh-CN"/>
        </w:rPr>
        <w:t>年中调减维修改造项目经费，直接转移支付各地州。</w:t>
      </w:r>
    </w:p>
    <w:p w14:paraId="6AE336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（二）一般公共预算财政拨款支出决算结构情况</w:t>
      </w:r>
    </w:p>
    <w:p w14:paraId="7EEE3B4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hint="eastAsia" w:ascii="仿宋_GB2312" w:eastAsia="仿宋_GB2312"/>
          <w:b w:val="0"/>
          <w:color w:val="auto"/>
          <w:w w:val="100"/>
          <w:sz w:val="32"/>
          <w:szCs w:val="32"/>
          <w:lang w:val="en-US" w:eastAsia="zh-CN"/>
        </w:rPr>
        <w:t>1.</w:t>
      </w:r>
      <w:r>
        <w:rPr>
          <w:rFonts w:ascii="仿宋_GB2312" w:eastAsia="仿宋_GB2312"/>
          <w:b w:val="0"/>
          <w:color w:val="auto"/>
          <w:w w:val="100"/>
          <w:sz w:val="32"/>
          <w:szCs w:val="32"/>
        </w:rPr>
        <w:t>社会保障和就业支出（类）19.86万元，占10.39%。</w:t>
      </w:r>
    </w:p>
    <w:p w14:paraId="17644CD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hint="eastAsia" w:ascii="仿宋_GB2312" w:eastAsia="仿宋_GB2312"/>
          <w:b w:val="0"/>
          <w:color w:val="auto"/>
          <w:w w:val="100"/>
          <w:sz w:val="32"/>
          <w:szCs w:val="32"/>
          <w:lang w:val="en-US" w:eastAsia="zh-CN"/>
        </w:rPr>
        <w:t>2.</w:t>
      </w:r>
      <w:r>
        <w:rPr>
          <w:rFonts w:ascii="仿宋_GB2312" w:eastAsia="仿宋_GB2312"/>
          <w:b w:val="0"/>
          <w:color w:val="auto"/>
          <w:w w:val="100"/>
          <w:sz w:val="32"/>
          <w:szCs w:val="32"/>
        </w:rPr>
        <w:t>卫生健康支出（类）12.46万元，占6.52%。</w:t>
      </w:r>
    </w:p>
    <w:p w14:paraId="558CC72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hint="eastAsia" w:ascii="仿宋_GB2312" w:eastAsia="仿宋_GB2312"/>
          <w:b w:val="0"/>
          <w:color w:val="auto"/>
          <w:w w:val="100"/>
          <w:sz w:val="32"/>
          <w:szCs w:val="32"/>
          <w:lang w:val="en-US" w:eastAsia="zh-CN"/>
        </w:rPr>
        <w:t>3.</w:t>
      </w:r>
      <w:r>
        <w:rPr>
          <w:rFonts w:ascii="仿宋_GB2312" w:eastAsia="仿宋_GB2312"/>
          <w:b w:val="0"/>
          <w:color w:val="auto"/>
          <w:w w:val="100"/>
          <w:sz w:val="32"/>
          <w:szCs w:val="32"/>
        </w:rPr>
        <w:t>住房保障支出（类）10.17万元，占5.32%。</w:t>
      </w:r>
    </w:p>
    <w:p w14:paraId="6A6850F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hint="eastAsia" w:ascii="仿宋_GB2312" w:eastAsia="仿宋_GB2312"/>
          <w:b w:val="0"/>
          <w:color w:val="auto"/>
          <w:w w:val="100"/>
          <w:sz w:val="32"/>
          <w:szCs w:val="32"/>
          <w:lang w:val="en-US" w:eastAsia="zh-CN"/>
        </w:rPr>
        <w:t>4.</w:t>
      </w:r>
      <w:r>
        <w:rPr>
          <w:rFonts w:ascii="仿宋_GB2312" w:eastAsia="仿宋_GB2312"/>
          <w:b w:val="0"/>
          <w:color w:val="auto"/>
          <w:w w:val="100"/>
          <w:sz w:val="32"/>
          <w:szCs w:val="32"/>
        </w:rPr>
        <w:t>粮油物资储备支出（类）148.59万元，占77.76%。</w:t>
      </w:r>
    </w:p>
    <w:p w14:paraId="2E215EF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（三）一般公共预算财政拨款支出决算具体情况</w:t>
      </w:r>
    </w:p>
    <w:p w14:paraId="30E9544C">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社会保障和就业支出（类）行政事业单位养老支出（款）行政单位离退休（项）：支出决算数为6.66万元，比上年决算增加1.51万元，增长29.32%，主要原因是：</w:t>
      </w:r>
      <w:r>
        <w:rPr>
          <w:rFonts w:hint="eastAsia" w:ascii="仿宋_GB2312" w:eastAsia="仿宋_GB2312"/>
          <w:b w:val="0"/>
          <w:color w:val="auto"/>
          <w:w w:val="100"/>
          <w:sz w:val="32"/>
          <w:szCs w:val="32"/>
          <w:lang w:eastAsia="zh-CN"/>
        </w:rPr>
        <w:t>退休人员增加</w:t>
      </w:r>
      <w:r>
        <w:rPr>
          <w:rFonts w:hint="eastAsia" w:ascii="仿宋_GB2312" w:hAnsi="仿宋" w:eastAsia="仿宋_GB2312"/>
          <w:color w:val="auto"/>
          <w:w w:val="100"/>
          <w:sz w:val="32"/>
          <w:szCs w:val="32"/>
          <w:highlight w:val="none"/>
          <w:lang w:val="en-US" w:eastAsia="zh-CN"/>
        </w:rPr>
        <w:t>基础绩效奖，</w:t>
      </w:r>
      <w:r>
        <w:rPr>
          <w:rFonts w:ascii="仿宋_GB2312" w:eastAsia="仿宋_GB2312"/>
          <w:b w:val="0"/>
          <w:color w:val="auto"/>
          <w:w w:val="100"/>
          <w:sz w:val="32"/>
          <w:szCs w:val="32"/>
        </w:rPr>
        <w:t>行政单位离退休</w:t>
      </w:r>
      <w:r>
        <w:rPr>
          <w:rFonts w:hint="eastAsia" w:ascii="仿宋_GB2312" w:eastAsia="仿宋_GB2312"/>
          <w:b w:val="0"/>
          <w:color w:val="auto"/>
          <w:w w:val="100"/>
          <w:sz w:val="32"/>
          <w:szCs w:val="32"/>
          <w:lang w:eastAsia="zh-CN"/>
        </w:rPr>
        <w:t>支出增加。</w:t>
      </w:r>
    </w:p>
    <w:p w14:paraId="47292683">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社会保障和就业支出（类）行政事业单位养老支出（款）机关事业单位基本养老保险缴费支出（项）：支出决算数为13.19万元，比上年决算增加2.36万元，增长21.79%，主要原因是：</w:t>
      </w:r>
      <w:r>
        <w:rPr>
          <w:rFonts w:hint="eastAsia" w:ascii="仿宋_GB2312" w:eastAsia="仿宋_GB2312"/>
          <w:b w:val="0"/>
          <w:color w:val="auto"/>
          <w:w w:val="100"/>
          <w:sz w:val="32"/>
          <w:szCs w:val="32"/>
          <w:lang w:eastAsia="zh-CN"/>
        </w:rPr>
        <w:t>在职人员增加，</w:t>
      </w:r>
      <w:r>
        <w:rPr>
          <w:rFonts w:ascii="仿宋_GB2312" w:eastAsia="仿宋_GB2312"/>
          <w:b w:val="0"/>
          <w:color w:val="auto"/>
          <w:w w:val="100"/>
          <w:sz w:val="32"/>
          <w:szCs w:val="32"/>
        </w:rPr>
        <w:t>基本养老保险缴费支出</w:t>
      </w:r>
      <w:r>
        <w:rPr>
          <w:rFonts w:hint="eastAsia" w:ascii="仿宋_GB2312" w:eastAsia="仿宋_GB2312"/>
          <w:b w:val="0"/>
          <w:color w:val="auto"/>
          <w:w w:val="100"/>
          <w:sz w:val="32"/>
          <w:szCs w:val="32"/>
          <w:lang w:eastAsia="zh-CN"/>
        </w:rPr>
        <w:t>增加。</w:t>
      </w:r>
    </w:p>
    <w:p w14:paraId="4A4398EF">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社会保障和就业支出（类）行政事业单位养老支出（款）机关事业单位职业年金缴费支出（项）：支出决算数为0.00万元，比上年决算减少5.48万元，下降100.00%，主要原因是：</w:t>
      </w:r>
      <w:r>
        <w:rPr>
          <w:rFonts w:hint="eastAsia" w:ascii="仿宋_GB2312" w:eastAsia="仿宋_GB2312"/>
          <w:b w:val="0"/>
          <w:color w:val="auto"/>
          <w:w w:val="100"/>
          <w:sz w:val="32"/>
          <w:szCs w:val="32"/>
          <w:lang w:eastAsia="zh-CN"/>
        </w:rPr>
        <w:t>上年有退休人员职业年金</w:t>
      </w:r>
      <w:r>
        <w:rPr>
          <w:rFonts w:hint="eastAsia" w:ascii="仿宋_GB2312" w:eastAsia="仿宋_GB2312"/>
          <w:b w:val="0"/>
          <w:color w:val="auto"/>
          <w:w w:val="100"/>
          <w:sz w:val="32"/>
          <w:szCs w:val="32"/>
          <w:lang w:val="en-US" w:eastAsia="zh-CN"/>
        </w:rPr>
        <w:t>做实</w:t>
      </w:r>
      <w:r>
        <w:rPr>
          <w:rFonts w:hint="eastAsia" w:ascii="仿宋_GB2312" w:eastAsia="仿宋_GB2312"/>
          <w:b w:val="0"/>
          <w:color w:val="auto"/>
          <w:w w:val="100"/>
          <w:sz w:val="32"/>
          <w:szCs w:val="32"/>
          <w:lang w:eastAsia="zh-CN"/>
        </w:rPr>
        <w:t>缴费支出，本年未安排此科目支出。</w:t>
      </w:r>
    </w:p>
    <w:p w14:paraId="50C2E5D0">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卫生健康支出（类）行政事业单位医疗（款）行政单位医疗（项）：支出决算数为6.51万元，比上年决算增加1.07万元，增长19.67%，主要原因是：</w:t>
      </w:r>
      <w:r>
        <w:rPr>
          <w:rFonts w:hint="eastAsia" w:ascii="仿宋_GB2312" w:eastAsia="仿宋_GB2312"/>
          <w:b w:val="0"/>
          <w:color w:val="auto"/>
          <w:w w:val="100"/>
          <w:sz w:val="32"/>
          <w:szCs w:val="32"/>
          <w:lang w:eastAsia="zh-CN"/>
        </w:rPr>
        <w:t>在职人员增加，</w:t>
      </w:r>
      <w:r>
        <w:rPr>
          <w:rFonts w:ascii="仿宋_GB2312" w:eastAsia="仿宋_GB2312"/>
          <w:b w:val="0"/>
          <w:color w:val="auto"/>
          <w:w w:val="100"/>
          <w:sz w:val="32"/>
          <w:szCs w:val="32"/>
        </w:rPr>
        <w:t>行政单位医疗</w:t>
      </w:r>
      <w:r>
        <w:rPr>
          <w:rFonts w:hint="eastAsia" w:ascii="仿宋_GB2312" w:eastAsia="仿宋_GB2312"/>
          <w:b w:val="0"/>
          <w:color w:val="auto"/>
          <w:w w:val="100"/>
          <w:sz w:val="32"/>
          <w:szCs w:val="32"/>
          <w:lang w:eastAsia="zh-CN"/>
        </w:rPr>
        <w:t>支出增加。</w:t>
      </w:r>
    </w:p>
    <w:p w14:paraId="4F7AD1E5">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卫生健康支出（类）行政事业单位医疗（款）公务员医疗补助（项）：支出决算数为5.95万元，比上年决算增加1.21万元，增长25.53%，主要原因是：</w:t>
      </w:r>
      <w:r>
        <w:rPr>
          <w:rFonts w:hint="eastAsia" w:ascii="仿宋_GB2312" w:eastAsia="仿宋_GB2312"/>
          <w:b w:val="0"/>
          <w:color w:val="auto"/>
          <w:w w:val="100"/>
          <w:sz w:val="32"/>
          <w:szCs w:val="32"/>
          <w:lang w:eastAsia="zh-CN"/>
        </w:rPr>
        <w:t>在职人员增加，</w:t>
      </w:r>
      <w:r>
        <w:rPr>
          <w:rFonts w:ascii="仿宋_GB2312" w:eastAsia="仿宋_GB2312"/>
          <w:b w:val="0"/>
          <w:color w:val="auto"/>
          <w:w w:val="100"/>
          <w:sz w:val="32"/>
          <w:szCs w:val="32"/>
        </w:rPr>
        <w:t>公务员医疗补助</w:t>
      </w:r>
      <w:r>
        <w:rPr>
          <w:rFonts w:hint="eastAsia" w:ascii="仿宋_GB2312" w:eastAsia="仿宋_GB2312"/>
          <w:b w:val="0"/>
          <w:color w:val="auto"/>
          <w:w w:val="100"/>
          <w:sz w:val="32"/>
          <w:szCs w:val="32"/>
          <w:lang w:eastAsia="zh-CN"/>
        </w:rPr>
        <w:t>增加。</w:t>
      </w:r>
    </w:p>
    <w:p w14:paraId="1AAE5A37">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住房保障支出（类）住房改革支出（款）住房公积金（项）：支出决算数为10.17万元，比上年决算增加2.05万元，增长25.25%，主要原因是：</w:t>
      </w:r>
      <w:r>
        <w:rPr>
          <w:rFonts w:hint="eastAsia" w:ascii="仿宋_GB2312" w:eastAsia="仿宋_GB2312"/>
          <w:b w:val="0"/>
          <w:color w:val="auto"/>
          <w:w w:val="100"/>
          <w:sz w:val="32"/>
          <w:szCs w:val="32"/>
          <w:lang w:eastAsia="zh-CN"/>
        </w:rPr>
        <w:t>在职人员增加，</w:t>
      </w:r>
      <w:r>
        <w:rPr>
          <w:rFonts w:ascii="仿宋_GB2312" w:eastAsia="仿宋_GB2312"/>
          <w:b w:val="0"/>
          <w:color w:val="auto"/>
          <w:w w:val="100"/>
          <w:sz w:val="32"/>
          <w:szCs w:val="32"/>
        </w:rPr>
        <w:t>住房公积金</w:t>
      </w:r>
      <w:r>
        <w:rPr>
          <w:rFonts w:hint="eastAsia" w:ascii="仿宋_GB2312" w:eastAsia="仿宋_GB2312"/>
          <w:b w:val="0"/>
          <w:color w:val="auto"/>
          <w:w w:val="100"/>
          <w:sz w:val="32"/>
          <w:szCs w:val="32"/>
          <w:lang w:eastAsia="zh-CN"/>
        </w:rPr>
        <w:t>支出增加。</w:t>
      </w:r>
    </w:p>
    <w:p w14:paraId="3F8EB04A">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粮油物资储备支出（类）粮油物资事务（款）行政运行（项）：支出决算数为108.59万元，比上年决算增加13.19万元，增长13.83%，主要原因是：</w:t>
      </w:r>
      <w:r>
        <w:rPr>
          <w:rFonts w:hint="eastAsia" w:ascii="仿宋_GB2312" w:eastAsia="仿宋_GB2312"/>
          <w:b w:val="0"/>
          <w:color w:val="auto"/>
          <w:w w:val="100"/>
          <w:sz w:val="32"/>
          <w:szCs w:val="32"/>
          <w:lang w:val="en-US" w:eastAsia="zh-CN"/>
        </w:rPr>
        <w:t>在职人员增加</w:t>
      </w:r>
      <w:r>
        <w:rPr>
          <w:rFonts w:hint="eastAsia" w:ascii="仿宋_GB2312" w:hAnsi="仿宋" w:eastAsia="仿宋_GB2312"/>
          <w:color w:val="auto"/>
          <w:w w:val="100"/>
          <w:sz w:val="32"/>
          <w:szCs w:val="32"/>
          <w:highlight w:val="none"/>
          <w:lang w:val="en-US" w:eastAsia="zh-CN"/>
        </w:rPr>
        <w:t>，</w:t>
      </w:r>
      <w:r>
        <w:rPr>
          <w:rFonts w:ascii="仿宋_GB2312" w:eastAsia="仿宋_GB2312"/>
          <w:b w:val="0"/>
          <w:color w:val="auto"/>
          <w:w w:val="100"/>
          <w:sz w:val="32"/>
          <w:szCs w:val="32"/>
        </w:rPr>
        <w:t>行政运行</w:t>
      </w:r>
      <w:r>
        <w:rPr>
          <w:rFonts w:hint="eastAsia" w:ascii="仿宋_GB2312" w:eastAsia="仿宋_GB2312"/>
          <w:b w:val="0"/>
          <w:color w:val="auto"/>
          <w:w w:val="100"/>
          <w:sz w:val="32"/>
          <w:szCs w:val="32"/>
          <w:lang w:eastAsia="zh-CN"/>
        </w:rPr>
        <w:t>支出增加。</w:t>
      </w:r>
    </w:p>
    <w:p w14:paraId="14AFD3FC">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color w:val="auto"/>
          <w:w w:val="100"/>
          <w:sz w:val="32"/>
          <w:szCs w:val="32"/>
        </w:rPr>
      </w:pPr>
      <w:r>
        <w:rPr>
          <w:rFonts w:ascii="仿宋_GB2312" w:eastAsia="仿宋_GB2312"/>
          <w:b w:val="0"/>
          <w:color w:val="auto"/>
          <w:w w:val="100"/>
          <w:sz w:val="32"/>
          <w:szCs w:val="32"/>
        </w:rPr>
        <w:t>粮油物资储备支出（类）粮油物资事务（款）其他粮油物资事务支出（项）：支出决算数为40.00万元，比上年决算减少102.60万元，下降71.95%，主要原因是：</w:t>
      </w:r>
      <w:r>
        <w:rPr>
          <w:rFonts w:hint="eastAsia" w:ascii="仿宋_GB2312" w:eastAsia="仿宋_GB2312"/>
          <w:b w:val="0"/>
          <w:color w:val="auto"/>
          <w:w w:val="100"/>
          <w:sz w:val="32"/>
          <w:szCs w:val="32"/>
        </w:rPr>
        <w:t>本年</w:t>
      </w:r>
      <w:r>
        <w:rPr>
          <w:rFonts w:hint="eastAsia" w:ascii="仿宋_GB2312" w:eastAsia="仿宋_GB2312"/>
          <w:b w:val="0"/>
          <w:color w:val="auto"/>
          <w:w w:val="100"/>
          <w:sz w:val="32"/>
          <w:szCs w:val="32"/>
          <w:lang w:val="en-US" w:eastAsia="zh-CN"/>
        </w:rPr>
        <w:t>减少信息化节点建设项目</w:t>
      </w:r>
      <w:r>
        <w:rPr>
          <w:rFonts w:hint="eastAsia" w:ascii="仿宋_GB2312" w:eastAsia="仿宋_GB2312"/>
          <w:b w:val="0"/>
          <w:color w:val="auto"/>
          <w:w w:val="100"/>
          <w:sz w:val="32"/>
          <w:szCs w:val="32"/>
          <w:lang w:eastAsia="zh-CN"/>
        </w:rPr>
        <w:t>。</w:t>
      </w:r>
    </w:p>
    <w:p w14:paraId="1754D0B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六、一般公共预算财政拨款基本支出决算情况说明</w:t>
      </w:r>
    </w:p>
    <w:p w14:paraId="5563FCC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一般公共预算财政拨款基本支出151.08万元，其中：人员经费138.16万元，包括：基本工资、津贴补贴、奖金、机关事业单位基本养老保险缴费、职工基本医疗保险缴费、公务员医疗补助缴费、其他社会保障缴费、住房公积金、退休费、生活补助和奖励金。</w:t>
      </w:r>
    </w:p>
    <w:p w14:paraId="1490DA3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公用经费12.91万元，包括：办公费、水费、电费、邮电费、取暖费、差旅费、工会经费、福利费、公务用车运行维护费和其他交通费用。</w:t>
      </w:r>
    </w:p>
    <w:p w14:paraId="746CC53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七、政府性基金预算财政拨款收入支出决算情况说明</w:t>
      </w:r>
    </w:p>
    <w:p w14:paraId="7F4A9FC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本单位本年度无政府性基金预算财政拨款收入支出及结转和结余政府性基金预算财政拨款收入支出决算表为空表。</w:t>
      </w:r>
    </w:p>
    <w:p w14:paraId="1B01895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八、国有资本经营预算财政拨款收入支出决算情况说明</w:t>
      </w:r>
    </w:p>
    <w:p w14:paraId="0A48E02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本单位本年度无国有资本经营预算财政拨款收入、支出及结转和结余，国有资本经营预算财政拨款收入支出决算表为空表。</w:t>
      </w:r>
    </w:p>
    <w:p w14:paraId="6C80C1C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九、财政拨款</w:t>
      </w:r>
      <w:r>
        <w:rPr>
          <w:rFonts w:hint="eastAsia" w:ascii="黑体" w:eastAsia="黑体"/>
          <w:b w:val="0"/>
          <w:color w:val="auto"/>
          <w:w w:val="100"/>
          <w:sz w:val="32"/>
          <w:szCs w:val="32"/>
          <w:lang w:eastAsia="zh-CN"/>
        </w:rPr>
        <w:t>“</w:t>
      </w:r>
      <w:r>
        <w:rPr>
          <w:rFonts w:ascii="黑体" w:eastAsia="黑体"/>
          <w:b w:val="0"/>
          <w:color w:val="auto"/>
          <w:w w:val="100"/>
          <w:sz w:val="32"/>
          <w:szCs w:val="32"/>
        </w:rPr>
        <w:t>三公</w:t>
      </w:r>
      <w:r>
        <w:rPr>
          <w:rFonts w:hint="eastAsia" w:ascii="黑体" w:eastAsia="黑体"/>
          <w:b w:val="0"/>
          <w:color w:val="auto"/>
          <w:w w:val="100"/>
          <w:sz w:val="32"/>
          <w:szCs w:val="32"/>
          <w:lang w:eastAsia="zh-CN"/>
        </w:rPr>
        <w:t>”</w:t>
      </w:r>
      <w:r>
        <w:rPr>
          <w:rFonts w:ascii="黑体" w:eastAsia="黑体"/>
          <w:b w:val="0"/>
          <w:color w:val="auto"/>
          <w:w w:val="100"/>
          <w:sz w:val="32"/>
          <w:szCs w:val="32"/>
        </w:rPr>
        <w:t>经费支出决算情况说明</w:t>
      </w:r>
    </w:p>
    <w:p w14:paraId="21025CB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2024年度财政拨款</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三公</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经费支出2.10万元，</w:t>
      </w:r>
      <w:r>
        <w:rPr>
          <w:rFonts w:hint="eastAsia" w:ascii="仿宋_GB2312" w:eastAsia="仿宋_GB2312"/>
          <w:b w:val="0"/>
          <w:color w:val="auto"/>
          <w:w w:val="100"/>
          <w:sz w:val="32"/>
          <w:szCs w:val="32"/>
          <w:lang w:eastAsia="zh-CN"/>
        </w:rPr>
        <w:t>比上年增加</w:t>
      </w:r>
      <w:r>
        <w:rPr>
          <w:rFonts w:hint="eastAsia" w:ascii="仿宋_GB2312" w:eastAsia="仿宋_GB2312"/>
          <w:b w:val="0"/>
          <w:color w:val="auto"/>
          <w:w w:val="100"/>
          <w:sz w:val="32"/>
          <w:szCs w:val="32"/>
          <w:lang w:val="en-US" w:eastAsia="zh-CN"/>
        </w:rPr>
        <w:t>0.00%，增长0.00%</w:t>
      </w:r>
      <w:r>
        <w:rPr>
          <w:rFonts w:ascii="仿宋_GB2312" w:eastAsia="仿宋_GB2312"/>
          <w:b w:val="0"/>
          <w:color w:val="auto"/>
          <w:w w:val="100"/>
          <w:sz w:val="32"/>
          <w:szCs w:val="32"/>
        </w:rPr>
        <w:t>，主要原因是：</w:t>
      </w:r>
      <w:r>
        <w:rPr>
          <w:rFonts w:hint="eastAsia" w:ascii="仿宋_GB2312" w:eastAsia="仿宋_GB2312"/>
          <w:b w:val="0"/>
          <w:color w:val="auto"/>
          <w:w w:val="100"/>
          <w:sz w:val="32"/>
          <w:szCs w:val="32"/>
          <w:lang w:eastAsia="zh-CN"/>
        </w:rPr>
        <w:t>本单位“三公”经费与上年一致无变化</w:t>
      </w:r>
      <w:r>
        <w:rPr>
          <w:rFonts w:ascii="仿宋_GB2312" w:eastAsia="仿宋_GB2312"/>
          <w:b w:val="0"/>
          <w:color w:val="auto"/>
          <w:w w:val="100"/>
          <w:sz w:val="32"/>
          <w:szCs w:val="32"/>
        </w:rPr>
        <w:t>。其中：因公出国（境）费支出0.00万元</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占0.00%，</w:t>
      </w:r>
      <w:r>
        <w:rPr>
          <w:rFonts w:hint="eastAsia" w:ascii="仿宋_GB2312" w:eastAsia="仿宋_GB2312"/>
          <w:b w:val="0"/>
          <w:color w:val="auto"/>
          <w:w w:val="100"/>
          <w:sz w:val="32"/>
          <w:szCs w:val="32"/>
          <w:lang w:eastAsia="zh-CN"/>
        </w:rPr>
        <w:t>比上年增加</w:t>
      </w:r>
      <w:r>
        <w:rPr>
          <w:rFonts w:hint="eastAsia" w:ascii="仿宋_GB2312" w:eastAsia="仿宋_GB2312"/>
          <w:b w:val="0"/>
          <w:color w:val="auto"/>
          <w:w w:val="100"/>
          <w:sz w:val="32"/>
          <w:szCs w:val="32"/>
          <w:lang w:val="en-US" w:eastAsia="zh-CN"/>
        </w:rPr>
        <w:t>0.00%，增长0.00%</w:t>
      </w:r>
      <w:r>
        <w:rPr>
          <w:rFonts w:ascii="仿宋_GB2312" w:eastAsia="仿宋_GB2312"/>
          <w:b w:val="0"/>
          <w:color w:val="auto"/>
          <w:w w:val="100"/>
          <w:sz w:val="32"/>
          <w:szCs w:val="32"/>
        </w:rPr>
        <w:t>，主要原因是：</w:t>
      </w:r>
      <w:r>
        <w:rPr>
          <w:rFonts w:hint="eastAsia" w:ascii="仿宋_GB2312" w:eastAsia="仿宋_GB2312"/>
          <w:b w:val="0"/>
          <w:color w:val="auto"/>
          <w:w w:val="100"/>
          <w:sz w:val="32"/>
          <w:szCs w:val="32"/>
          <w:lang w:val="en-US" w:eastAsia="zh-CN"/>
        </w:rPr>
        <w:t>2023年、2024年均未安排</w:t>
      </w:r>
      <w:r>
        <w:rPr>
          <w:rFonts w:ascii="仿宋_GB2312" w:eastAsia="仿宋_GB2312"/>
          <w:b w:val="0"/>
          <w:color w:val="auto"/>
          <w:w w:val="100"/>
          <w:sz w:val="32"/>
          <w:szCs w:val="32"/>
        </w:rPr>
        <w:t>因公出国（境）</w:t>
      </w:r>
      <w:r>
        <w:rPr>
          <w:rFonts w:hint="eastAsia" w:ascii="仿宋_GB2312" w:eastAsia="仿宋_GB2312"/>
          <w:b w:val="0"/>
          <w:color w:val="auto"/>
          <w:w w:val="100"/>
          <w:sz w:val="32"/>
          <w:szCs w:val="32"/>
          <w:lang w:eastAsia="zh-CN"/>
        </w:rPr>
        <w:t>业务</w:t>
      </w:r>
      <w:r>
        <w:rPr>
          <w:rFonts w:ascii="仿宋_GB2312" w:eastAsia="仿宋_GB2312"/>
          <w:b w:val="0"/>
          <w:color w:val="auto"/>
          <w:w w:val="100"/>
          <w:sz w:val="32"/>
          <w:szCs w:val="32"/>
        </w:rPr>
        <w:t>；公务用车购置及运行维护费支出2.10万元，占100.00%，</w:t>
      </w:r>
      <w:r>
        <w:rPr>
          <w:rFonts w:hint="eastAsia" w:ascii="仿宋_GB2312" w:eastAsia="仿宋_GB2312"/>
          <w:b w:val="0"/>
          <w:color w:val="auto"/>
          <w:w w:val="100"/>
          <w:sz w:val="32"/>
          <w:szCs w:val="32"/>
          <w:lang w:eastAsia="zh-CN"/>
        </w:rPr>
        <w:t>比上年增加</w:t>
      </w:r>
      <w:r>
        <w:rPr>
          <w:rFonts w:hint="eastAsia" w:ascii="仿宋_GB2312" w:eastAsia="仿宋_GB2312"/>
          <w:b w:val="0"/>
          <w:color w:val="auto"/>
          <w:w w:val="100"/>
          <w:sz w:val="32"/>
          <w:szCs w:val="32"/>
          <w:lang w:val="en-US" w:eastAsia="zh-CN"/>
        </w:rPr>
        <w:t>0.00%，增长0.00%</w:t>
      </w:r>
      <w:r>
        <w:rPr>
          <w:rFonts w:ascii="仿宋_GB2312" w:eastAsia="仿宋_GB2312"/>
          <w:b w:val="0"/>
          <w:color w:val="auto"/>
          <w:w w:val="100"/>
          <w:sz w:val="32"/>
          <w:szCs w:val="32"/>
        </w:rPr>
        <w:t>，主要原因是：</w:t>
      </w:r>
      <w:r>
        <w:rPr>
          <w:rFonts w:hint="eastAsia" w:ascii="仿宋_GB2312" w:eastAsia="仿宋_GB2312"/>
          <w:b w:val="0"/>
          <w:color w:val="auto"/>
          <w:w w:val="100"/>
          <w:sz w:val="32"/>
          <w:szCs w:val="32"/>
          <w:lang w:eastAsia="zh-CN"/>
        </w:rPr>
        <w:t>本单位公务用车运行维护费与上年一致无变化</w:t>
      </w:r>
      <w:r>
        <w:rPr>
          <w:rFonts w:ascii="仿宋_GB2312" w:eastAsia="仿宋_GB2312"/>
          <w:b w:val="0"/>
          <w:color w:val="auto"/>
          <w:w w:val="100"/>
          <w:sz w:val="32"/>
          <w:szCs w:val="32"/>
        </w:rPr>
        <w:t>；公务接待费支出0.00万元，占0.00%，</w:t>
      </w:r>
      <w:r>
        <w:rPr>
          <w:rFonts w:hint="eastAsia" w:ascii="仿宋_GB2312" w:eastAsia="仿宋_GB2312"/>
          <w:b w:val="0"/>
          <w:color w:val="auto"/>
          <w:w w:val="100"/>
          <w:sz w:val="32"/>
          <w:szCs w:val="32"/>
          <w:lang w:eastAsia="zh-CN"/>
        </w:rPr>
        <w:t>比上年增加</w:t>
      </w:r>
      <w:r>
        <w:rPr>
          <w:rFonts w:hint="eastAsia" w:ascii="仿宋_GB2312" w:eastAsia="仿宋_GB2312"/>
          <w:b w:val="0"/>
          <w:color w:val="auto"/>
          <w:w w:val="100"/>
          <w:sz w:val="32"/>
          <w:szCs w:val="32"/>
          <w:lang w:val="en-US" w:eastAsia="zh-CN"/>
        </w:rPr>
        <w:t>0.00%，增长0.00%</w:t>
      </w:r>
      <w:r>
        <w:rPr>
          <w:rFonts w:ascii="仿宋_GB2312" w:eastAsia="仿宋_GB2312"/>
          <w:b w:val="0"/>
          <w:color w:val="auto"/>
          <w:w w:val="100"/>
          <w:sz w:val="32"/>
          <w:szCs w:val="32"/>
        </w:rPr>
        <w:t>，主要原因是：</w:t>
      </w:r>
      <w:r>
        <w:rPr>
          <w:rFonts w:hint="eastAsia" w:ascii="仿宋_GB2312" w:eastAsia="仿宋_GB2312"/>
          <w:b w:val="0"/>
          <w:color w:val="auto"/>
          <w:w w:val="100"/>
          <w:sz w:val="32"/>
          <w:szCs w:val="32"/>
          <w:lang w:val="en-US" w:eastAsia="zh-CN"/>
        </w:rPr>
        <w:t>2023年、2024年均未安排</w:t>
      </w:r>
      <w:r>
        <w:rPr>
          <w:rFonts w:ascii="仿宋_GB2312" w:eastAsia="仿宋_GB2312"/>
          <w:b w:val="0"/>
          <w:color w:val="auto"/>
          <w:w w:val="100"/>
          <w:sz w:val="32"/>
          <w:szCs w:val="32"/>
        </w:rPr>
        <w:t>公务接待。</w:t>
      </w:r>
    </w:p>
    <w:p w14:paraId="67AB39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r>
        <w:rPr>
          <w:rFonts w:ascii="仿宋_GB2312" w:eastAsia="仿宋_GB2312"/>
          <w:b w:val="0"/>
          <w:color w:val="auto"/>
          <w:w w:val="100"/>
          <w:sz w:val="32"/>
          <w:szCs w:val="32"/>
        </w:rPr>
        <w:t>具体情况如下：</w:t>
      </w:r>
    </w:p>
    <w:p w14:paraId="1C37581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因公出国（境）费支出0.00万元，开支内容包括</w:t>
      </w:r>
      <w:r>
        <w:rPr>
          <w:rFonts w:hint="eastAsia" w:ascii="仿宋_GB2312" w:eastAsia="仿宋_GB2312"/>
          <w:b w:val="0"/>
          <w:color w:val="auto"/>
          <w:w w:val="100"/>
          <w:sz w:val="32"/>
          <w:szCs w:val="32"/>
          <w:lang w:val="en-US" w:eastAsia="zh-CN"/>
        </w:rPr>
        <w:t>本单位</w:t>
      </w:r>
      <w:r>
        <w:rPr>
          <w:rFonts w:hint="eastAsia" w:ascii="仿宋_GB2312" w:eastAsia="仿宋_GB2312"/>
          <w:b w:val="0"/>
          <w:color w:val="auto"/>
          <w:w w:val="100"/>
          <w:sz w:val="32"/>
          <w:szCs w:val="32"/>
          <w:lang w:eastAsia="zh-CN"/>
        </w:rPr>
        <w:t>无</w:t>
      </w:r>
      <w:r>
        <w:rPr>
          <w:rFonts w:ascii="仿宋_GB2312" w:eastAsia="仿宋_GB2312"/>
          <w:b w:val="0"/>
          <w:color w:val="auto"/>
          <w:w w:val="100"/>
          <w:sz w:val="32"/>
          <w:szCs w:val="32"/>
        </w:rPr>
        <w:t>因公出国（境）费。单位全年安排的因公出国（境）团组0个，因公出国（境）0人次。</w:t>
      </w:r>
    </w:p>
    <w:p w14:paraId="11E6E2E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公务用车购置及运行维护费2.10万元，其中：公务用车购置费0.00万元，公务用车运行维护费2.10万元。公务用车运行维护费开支内容包括</w:t>
      </w:r>
      <w:r>
        <w:rPr>
          <w:rFonts w:hint="eastAsia" w:ascii="仿宋_GB2312" w:eastAsia="仿宋_GB2312"/>
          <w:b w:val="0"/>
          <w:color w:val="auto"/>
          <w:w w:val="100"/>
          <w:sz w:val="32"/>
          <w:szCs w:val="32"/>
          <w:lang w:eastAsia="zh-CN"/>
        </w:rPr>
        <w:t>车辆</w:t>
      </w:r>
      <w:r>
        <w:rPr>
          <w:rFonts w:ascii="仿宋_GB2312" w:eastAsia="仿宋_GB2312"/>
          <w:b w:val="0"/>
          <w:color w:val="auto"/>
          <w:w w:val="100"/>
          <w:sz w:val="32"/>
          <w:szCs w:val="32"/>
          <w:lang w:val="en-US" w:eastAsia="zh-CN"/>
        </w:rPr>
        <w:t>燃料费、维修费、保险费</w:t>
      </w:r>
      <w:r>
        <w:rPr>
          <w:rFonts w:ascii="仿宋_GB2312" w:eastAsia="仿宋_GB2312"/>
          <w:b w:val="0"/>
          <w:color w:val="auto"/>
          <w:w w:val="100"/>
          <w:sz w:val="32"/>
          <w:szCs w:val="32"/>
        </w:rPr>
        <w:t>。公务用车购置数0辆，公务用车保有量2辆。国有资产占用情况中固定资产车辆2辆，与公务用车保有量差异原因是：固定资产车辆与公务用车保有量</w:t>
      </w:r>
      <w:r>
        <w:rPr>
          <w:rFonts w:hint="eastAsia" w:ascii="仿宋_GB2312" w:eastAsia="仿宋_GB2312"/>
          <w:b w:val="0"/>
          <w:color w:val="auto"/>
          <w:w w:val="100"/>
          <w:sz w:val="32"/>
          <w:szCs w:val="32"/>
          <w:lang w:eastAsia="zh-CN"/>
        </w:rPr>
        <w:t>无</w:t>
      </w:r>
      <w:r>
        <w:rPr>
          <w:rFonts w:ascii="仿宋_GB2312" w:eastAsia="仿宋_GB2312"/>
          <w:b w:val="0"/>
          <w:color w:val="auto"/>
          <w:w w:val="100"/>
          <w:sz w:val="32"/>
          <w:szCs w:val="32"/>
        </w:rPr>
        <w:t>差异。</w:t>
      </w:r>
    </w:p>
    <w:p w14:paraId="321D660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公务接待费0.00万元，开支内容包括</w:t>
      </w:r>
      <w:r>
        <w:rPr>
          <w:rFonts w:hint="eastAsia" w:ascii="仿宋_GB2312" w:eastAsia="仿宋_GB2312"/>
          <w:b w:val="0"/>
          <w:color w:val="auto"/>
          <w:w w:val="100"/>
          <w:sz w:val="32"/>
          <w:szCs w:val="32"/>
          <w:lang w:val="en-US" w:eastAsia="zh-CN"/>
        </w:rPr>
        <w:t>本单位</w:t>
      </w:r>
      <w:r>
        <w:rPr>
          <w:rFonts w:hint="eastAsia" w:ascii="仿宋_GB2312" w:eastAsia="仿宋_GB2312"/>
          <w:b w:val="0"/>
          <w:color w:val="auto"/>
          <w:w w:val="100"/>
          <w:sz w:val="32"/>
          <w:szCs w:val="32"/>
          <w:lang w:eastAsia="zh-CN"/>
        </w:rPr>
        <w:t>无公务接待</w:t>
      </w:r>
      <w:r>
        <w:rPr>
          <w:rFonts w:hint="eastAsia" w:ascii="仿宋_GB2312" w:eastAsia="仿宋_GB2312"/>
          <w:b w:val="0"/>
          <w:color w:val="auto"/>
          <w:w w:val="100"/>
          <w:sz w:val="32"/>
          <w:szCs w:val="32"/>
          <w:lang w:val="en-US" w:eastAsia="zh-CN"/>
        </w:rPr>
        <w:t>费</w:t>
      </w:r>
      <w:r>
        <w:rPr>
          <w:rFonts w:ascii="仿宋_GB2312" w:eastAsia="仿宋_GB2312"/>
          <w:b w:val="0"/>
          <w:color w:val="auto"/>
          <w:w w:val="100"/>
          <w:sz w:val="32"/>
          <w:szCs w:val="32"/>
        </w:rPr>
        <w:t>。单位全年安排的国内公务接待0批次，0人次。</w:t>
      </w:r>
    </w:p>
    <w:p w14:paraId="6043D07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与全年预算相比，财政拨款</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三公</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经费支出全年预算数2.10万元，决算数2.10万元，预决算差异率0.00%，主要原因是：</w:t>
      </w:r>
      <w:r>
        <w:rPr>
          <w:rFonts w:hint="eastAsia" w:ascii="仿宋_GB2312" w:eastAsia="仿宋_GB2312"/>
          <w:b w:val="0"/>
          <w:color w:val="auto"/>
          <w:w w:val="100"/>
          <w:sz w:val="32"/>
          <w:szCs w:val="32"/>
          <w:lang w:eastAsia="zh-CN"/>
        </w:rPr>
        <w:t>严格按照预算执行，预决算无差异</w:t>
      </w:r>
      <w:r>
        <w:rPr>
          <w:rFonts w:ascii="仿宋_GB2312" w:eastAsia="仿宋_GB2312"/>
          <w:b w:val="0"/>
          <w:color w:val="auto"/>
          <w:w w:val="100"/>
          <w:sz w:val="32"/>
          <w:szCs w:val="32"/>
        </w:rPr>
        <w:t>。其中：因公出国（境）费全年预算数0.00万元，决算数0.00万元，预决算差异率0.00%，主要原因是：</w:t>
      </w:r>
      <w:r>
        <w:rPr>
          <w:rFonts w:hint="eastAsia" w:ascii="仿宋_GB2312" w:eastAsia="仿宋_GB2312"/>
          <w:b w:val="0"/>
          <w:color w:val="auto"/>
          <w:w w:val="100"/>
          <w:sz w:val="32"/>
          <w:szCs w:val="32"/>
        </w:rPr>
        <w:t>本单位无因公出国（境）费</w:t>
      </w:r>
      <w:r>
        <w:rPr>
          <w:rFonts w:ascii="仿宋_GB2312" w:eastAsia="仿宋_GB2312"/>
          <w:b w:val="0"/>
          <w:color w:val="auto"/>
          <w:w w:val="100"/>
          <w:sz w:val="32"/>
          <w:szCs w:val="32"/>
        </w:rPr>
        <w:t>。公务用车购置费全年预算数0.00万元，决算数0.00万元，预决算差异率0.00%，主要原因是：</w:t>
      </w:r>
      <w:r>
        <w:rPr>
          <w:rFonts w:hint="eastAsia" w:ascii="仿宋_GB2312" w:eastAsia="仿宋_GB2312"/>
          <w:b w:val="0"/>
          <w:color w:val="auto"/>
          <w:w w:val="100"/>
          <w:sz w:val="32"/>
          <w:szCs w:val="32"/>
        </w:rPr>
        <w:t>本单位无公务用车购置费</w:t>
      </w:r>
      <w:r>
        <w:rPr>
          <w:rFonts w:ascii="仿宋_GB2312" w:eastAsia="仿宋_GB2312"/>
          <w:b w:val="0"/>
          <w:color w:val="auto"/>
          <w:w w:val="100"/>
          <w:sz w:val="32"/>
          <w:szCs w:val="32"/>
        </w:rPr>
        <w:t>。公务用车运行维护费全年预算数2.10万元，决算数2.10万元，预决算差异率0.00%，主要原因是：</w:t>
      </w:r>
      <w:r>
        <w:rPr>
          <w:rFonts w:hint="eastAsia" w:ascii="仿宋_GB2312" w:eastAsia="仿宋_GB2312"/>
          <w:b w:val="0"/>
          <w:color w:val="auto"/>
          <w:w w:val="100"/>
          <w:sz w:val="32"/>
          <w:szCs w:val="32"/>
          <w:lang w:eastAsia="zh-CN"/>
        </w:rPr>
        <w:t>严格按照预算执行，预决算无差异</w:t>
      </w:r>
      <w:r>
        <w:rPr>
          <w:rFonts w:ascii="仿宋_GB2312" w:eastAsia="仿宋_GB2312"/>
          <w:b w:val="0"/>
          <w:color w:val="auto"/>
          <w:w w:val="100"/>
          <w:sz w:val="32"/>
          <w:szCs w:val="32"/>
        </w:rPr>
        <w:t>。公务接待费全年预算数0.00万元，决算数0.00万元，预决算差异率0.00%，主要原因是：</w:t>
      </w:r>
      <w:r>
        <w:rPr>
          <w:rFonts w:hint="eastAsia" w:ascii="仿宋_GB2312" w:eastAsia="仿宋_GB2312"/>
          <w:b w:val="0"/>
          <w:color w:val="auto"/>
          <w:w w:val="100"/>
          <w:sz w:val="32"/>
          <w:szCs w:val="32"/>
        </w:rPr>
        <w:t>本单位无公务接待费。</w:t>
      </w:r>
    </w:p>
    <w:p w14:paraId="4494D58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十、其他重要事项的情况说明</w:t>
      </w:r>
    </w:p>
    <w:p w14:paraId="429049E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（一）机关运行经费及公用经费支出情况</w:t>
      </w:r>
    </w:p>
    <w:p w14:paraId="66B6380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2024年度新疆维吾尔自治区军粮供应服务中心公用经费支出12.91万元，比上年增加0.77万元，增长6.34%，主要原因是：</w:t>
      </w:r>
      <w:r>
        <w:rPr>
          <w:rFonts w:hint="eastAsia" w:ascii="仿宋_GB2312" w:eastAsia="仿宋_GB2312"/>
          <w:b w:val="0"/>
          <w:color w:val="auto"/>
          <w:w w:val="100"/>
          <w:sz w:val="32"/>
          <w:szCs w:val="32"/>
          <w:lang w:eastAsia="zh-CN"/>
        </w:rPr>
        <w:t>人员增加，办公费、工会经费、福利费增加</w:t>
      </w:r>
      <w:r>
        <w:rPr>
          <w:rFonts w:ascii="仿宋_GB2312" w:eastAsia="仿宋_GB2312"/>
          <w:b w:val="0"/>
          <w:color w:val="auto"/>
          <w:w w:val="100"/>
          <w:sz w:val="32"/>
          <w:szCs w:val="32"/>
        </w:rPr>
        <w:t>。</w:t>
      </w:r>
    </w:p>
    <w:p w14:paraId="0DB1500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（二）政府采购情况</w:t>
      </w:r>
    </w:p>
    <w:p w14:paraId="037D48A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2024年度政府采购支出总额5.88万元，其中：政府采购货物支出3.20万元、政府采购工程支出0.00万元、政府采购服务支出2.68万元。</w:t>
      </w:r>
    </w:p>
    <w:p w14:paraId="34D3A00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授予中小企业合同金额5.38万元，占政府采购支出总额的91.50%，其中：授予小微企业合同金额3.35万元，占政府采购支出总额的56.97%。</w:t>
      </w:r>
    </w:p>
    <w:p w14:paraId="127F3CB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w w:val="100"/>
          <w:sz w:val="32"/>
          <w:szCs w:val="32"/>
        </w:rPr>
      </w:pPr>
      <w:r>
        <w:rPr>
          <w:rFonts w:ascii="仿宋_GB2312" w:eastAsia="仿宋_GB2312"/>
          <w:b/>
          <w:color w:val="auto"/>
          <w:w w:val="100"/>
          <w:sz w:val="32"/>
          <w:szCs w:val="32"/>
        </w:rPr>
        <w:t>（三）国有资产占用情况说明</w:t>
      </w:r>
    </w:p>
    <w:p w14:paraId="2D973A7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w w:val="100"/>
          <w:sz w:val="32"/>
          <w:szCs w:val="32"/>
        </w:rPr>
      </w:pPr>
      <w:r>
        <w:rPr>
          <w:rFonts w:ascii="仿宋_GB2312" w:eastAsia="仿宋_GB2312"/>
          <w:b w:val="0"/>
          <w:color w:val="auto"/>
          <w:w w:val="100"/>
          <w:sz w:val="32"/>
          <w:szCs w:val="32"/>
        </w:rPr>
        <w:t>截至2024年12月31日，房屋803.92平方米，价值498.44万元。车辆2辆，价值95.91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b w:val="0"/>
          <w:color w:val="auto"/>
          <w:w w:val="100"/>
          <w:sz w:val="32"/>
          <w:szCs w:val="32"/>
          <w:lang w:eastAsia="zh-CN"/>
        </w:rPr>
        <w:t>一般</w:t>
      </w:r>
      <w:r>
        <w:rPr>
          <w:rFonts w:hint="eastAsia" w:ascii="仿宋_GB2312" w:eastAsia="仿宋_GB2312"/>
          <w:b w:val="0"/>
          <w:color w:val="auto"/>
          <w:w w:val="100"/>
          <w:sz w:val="32"/>
          <w:szCs w:val="32"/>
          <w:lang w:val="en-US" w:eastAsia="zh-CN"/>
        </w:rPr>
        <w:t>公务</w:t>
      </w:r>
      <w:r>
        <w:rPr>
          <w:rFonts w:hint="eastAsia" w:ascii="仿宋_GB2312" w:eastAsia="仿宋_GB2312"/>
          <w:b w:val="0"/>
          <w:color w:val="auto"/>
          <w:w w:val="100"/>
          <w:sz w:val="32"/>
          <w:szCs w:val="32"/>
          <w:lang w:eastAsia="zh-CN"/>
        </w:rPr>
        <w:t>用车；</w:t>
      </w:r>
      <w:r>
        <w:rPr>
          <w:rFonts w:ascii="仿宋_GB2312" w:eastAsia="仿宋_GB2312"/>
          <w:b w:val="0"/>
          <w:color w:val="auto"/>
          <w:w w:val="100"/>
          <w:sz w:val="32"/>
          <w:szCs w:val="32"/>
        </w:rPr>
        <w:t>单价100万元（含）以上设备（不含车辆）0台（套）。</w:t>
      </w:r>
    </w:p>
    <w:p w14:paraId="1364F3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color w:val="auto"/>
          <w:w w:val="100"/>
          <w:sz w:val="32"/>
          <w:szCs w:val="32"/>
        </w:rPr>
      </w:pPr>
      <w:r>
        <w:rPr>
          <w:rFonts w:ascii="黑体" w:eastAsia="黑体"/>
          <w:b w:val="0"/>
          <w:color w:val="auto"/>
          <w:w w:val="100"/>
          <w:sz w:val="32"/>
          <w:szCs w:val="32"/>
        </w:rPr>
        <w:t>十一、预算绩效的情况说明</w:t>
      </w:r>
    </w:p>
    <w:p w14:paraId="48C511E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color w:val="auto"/>
          <w:w w:val="100"/>
          <w:sz w:val="32"/>
          <w:szCs w:val="32"/>
          <w:lang w:val="en-US" w:eastAsia="zh-CN"/>
        </w:rPr>
      </w:pPr>
      <w:r>
        <w:rPr>
          <w:rFonts w:hint="eastAsia" w:ascii="仿宋_GB2312" w:eastAsia="仿宋_GB2312"/>
          <w:b w:val="0"/>
          <w:color w:val="auto"/>
          <w:w w:val="100"/>
          <w:sz w:val="32"/>
          <w:szCs w:val="32"/>
          <w:lang w:eastAsia="zh-CN"/>
        </w:rPr>
        <w:t>根据预算绩效管理要求，</w:t>
      </w:r>
      <w:r>
        <w:rPr>
          <w:rFonts w:hint="eastAsia" w:ascii="仿宋_GB2312" w:eastAsia="仿宋_GB2312"/>
          <w:b w:val="0"/>
          <w:color w:val="auto"/>
          <w:w w:val="100"/>
          <w:sz w:val="32"/>
          <w:szCs w:val="32"/>
          <w:lang w:val="en-US" w:eastAsia="zh-CN"/>
        </w:rPr>
        <w:t>本</w:t>
      </w:r>
      <w:r>
        <w:rPr>
          <w:rFonts w:hint="eastAsia" w:ascii="仿宋_GB2312" w:eastAsia="仿宋_GB2312"/>
          <w:b w:val="0"/>
          <w:color w:val="auto"/>
          <w:w w:val="100"/>
          <w:sz w:val="32"/>
          <w:szCs w:val="32"/>
          <w:lang w:eastAsia="zh-CN"/>
        </w:rPr>
        <w:t>单位2024年度预算绩效评价项</w:t>
      </w:r>
      <w:r>
        <w:rPr>
          <w:rFonts w:hint="eastAsia" w:ascii="仿宋_GB2312" w:eastAsia="仿宋_GB2312"/>
          <w:b w:val="0"/>
          <w:color w:val="auto"/>
          <w:w w:val="100"/>
          <w:sz w:val="32"/>
          <w:szCs w:val="32"/>
          <w:highlight w:val="none"/>
          <w:lang w:eastAsia="zh-CN"/>
        </w:rPr>
        <w:t>目</w:t>
      </w:r>
      <w:r>
        <w:rPr>
          <w:rFonts w:hint="eastAsia" w:ascii="仿宋_GB2312" w:eastAsia="仿宋_GB2312"/>
          <w:b w:val="0"/>
          <w:color w:val="auto"/>
          <w:w w:val="100"/>
          <w:sz w:val="32"/>
          <w:szCs w:val="32"/>
          <w:highlight w:val="none"/>
          <w:lang w:val="en-US" w:eastAsia="zh-CN"/>
        </w:rPr>
        <w:t>1</w:t>
      </w:r>
      <w:r>
        <w:rPr>
          <w:rFonts w:hint="eastAsia" w:ascii="仿宋_GB2312" w:eastAsia="仿宋_GB2312"/>
          <w:b w:val="0"/>
          <w:color w:val="auto"/>
          <w:w w:val="100"/>
          <w:sz w:val="32"/>
          <w:szCs w:val="32"/>
          <w:highlight w:val="none"/>
          <w:lang w:eastAsia="zh-CN"/>
        </w:rPr>
        <w:t>个，</w:t>
      </w:r>
      <w:r>
        <w:rPr>
          <w:rFonts w:hint="eastAsia" w:ascii="仿宋_GB2312" w:eastAsia="仿宋_GB2312"/>
          <w:b w:val="0"/>
          <w:color w:val="auto"/>
          <w:w w:val="100"/>
          <w:sz w:val="32"/>
          <w:szCs w:val="32"/>
          <w:highlight w:val="none"/>
          <w:lang w:val="en-US" w:eastAsia="zh-CN"/>
        </w:rPr>
        <w:t>全年预算</w:t>
      </w:r>
      <w:r>
        <w:rPr>
          <w:rFonts w:hint="eastAsia" w:ascii="仿宋_GB2312" w:eastAsia="仿宋_GB2312"/>
          <w:b w:val="0"/>
          <w:color w:val="auto"/>
          <w:w w:val="100"/>
          <w:sz w:val="32"/>
          <w:szCs w:val="32"/>
          <w:lang w:val="en-US" w:eastAsia="zh-CN"/>
        </w:rPr>
        <w:t>数40.00万元，全年执行数40.00万元。预算绩效管理取得的成效：有效保障了财政资金使用效率，严格落实专款专用，切实加强了资金支出的合规性。发现的问题及原因：绩效管理意识有待加强、绩效指标设置的相关性和可</w:t>
      </w:r>
      <w:r>
        <w:rPr>
          <w:rFonts w:hint="eastAsia" w:ascii="仿宋_GB2312" w:hAnsi="Times New Roman" w:eastAsia="仿宋_GB2312" w:cs="Times New Roman"/>
          <w:color w:val="auto"/>
          <w:spacing w:val="0"/>
          <w:w w:val="100"/>
          <w:kern w:val="2"/>
          <w:sz w:val="32"/>
          <w:szCs w:val="32"/>
          <w:highlight w:val="none"/>
          <w:lang w:val="en-US" w:eastAsia="zh-CN" w:bidi="ar-SA"/>
        </w:rPr>
        <w:t>衡</w:t>
      </w:r>
      <w:r>
        <w:rPr>
          <w:rFonts w:hint="eastAsia" w:ascii="仿宋_GB2312" w:eastAsia="仿宋_GB2312"/>
          <w:b w:val="0"/>
          <w:color w:val="auto"/>
          <w:w w:val="100"/>
          <w:sz w:val="32"/>
          <w:szCs w:val="32"/>
          <w:lang w:val="en-US" w:eastAsia="zh-CN"/>
        </w:rPr>
        <w:t>量性仍须提升，以及预算精细化管理水平尚存不足。下一步改进措施：将着力完善绩效目标设定，强化会计核算的数据支撑作用，进一步提升预算编制的科学性与资金使用效益。具体附项目支出绩效自评表。</w:t>
      </w:r>
    </w:p>
    <w:p w14:paraId="359BF5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b w:val="0"/>
          <w:color w:val="auto"/>
          <w:w w:val="100"/>
          <w:sz w:val="32"/>
          <w:szCs w:val="32"/>
        </w:rPr>
      </w:pPr>
      <w:r>
        <w:rPr>
          <w:rFonts w:ascii="黑体" w:eastAsia="黑体"/>
          <w:b w:val="0"/>
          <w:color w:val="auto"/>
          <w:w w:val="100"/>
          <w:sz w:val="32"/>
          <w:szCs w:val="32"/>
        </w:rPr>
        <w:t>十二、其他需说明的事项</w:t>
      </w:r>
    </w:p>
    <w:p w14:paraId="2EA9864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b w:val="0"/>
          <w:color w:val="auto"/>
          <w:w w:val="100"/>
          <w:sz w:val="32"/>
          <w:szCs w:val="32"/>
          <w:lang w:val="en-US" w:eastAsia="zh-CN"/>
        </w:rPr>
      </w:pPr>
      <w:r>
        <w:rPr>
          <w:rFonts w:hint="eastAsia" w:ascii="仿宋_GB2312" w:eastAsia="仿宋_GB2312"/>
          <w:b w:val="0"/>
          <w:color w:val="auto"/>
          <w:w w:val="100"/>
          <w:sz w:val="32"/>
          <w:szCs w:val="32"/>
          <w:lang w:val="en-US" w:eastAsia="zh-CN"/>
        </w:rPr>
        <w:t>本单位无其他需说明事项。</w:t>
      </w:r>
    </w:p>
    <w:p w14:paraId="4F59EDE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color w:val="auto"/>
          <w:w w:val="100"/>
          <w:sz w:val="32"/>
          <w:szCs w:val="32"/>
        </w:rPr>
      </w:pPr>
    </w:p>
    <w:p w14:paraId="64E17D1F">
      <w:pPr>
        <w:keepNext w:val="0"/>
        <w:keepLines w:val="0"/>
        <w:pageBreakBefore w:val="0"/>
        <w:widowControl/>
        <w:kinsoku/>
        <w:wordWrap/>
        <w:overflowPunct/>
        <w:topLinePunct w:val="0"/>
        <w:autoSpaceDE/>
        <w:autoSpaceDN/>
        <w:bidi w:val="0"/>
        <w:adjustRightInd/>
        <w:snapToGrid/>
        <w:spacing w:line="560" w:lineRule="exact"/>
        <w:ind w:firstLine="0" w:firstLineChars="200"/>
        <w:textAlignment w:val="auto"/>
        <w:rPr>
          <w:color w:val="auto"/>
          <w:w w:val="100"/>
        </w:rPr>
      </w:pPr>
      <w:r>
        <w:rPr>
          <w:b w:val="0"/>
          <w:color w:val="auto"/>
          <w:w w:val="100"/>
          <w:sz w:val="0"/>
          <w:szCs w:val="0"/>
        </w:rPr>
        <w:br w:type="page"/>
      </w:r>
    </w:p>
    <w:p w14:paraId="5E8E5A7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center"/>
        <w:textAlignment w:val="auto"/>
        <w:outlineLvl w:val="0"/>
        <w:rPr>
          <w:rFonts w:ascii="黑体" w:eastAsia="黑体"/>
          <w:color w:val="auto"/>
          <w:w w:val="100"/>
          <w:sz w:val="32"/>
          <w:szCs w:val="32"/>
        </w:rPr>
      </w:pPr>
      <w:r>
        <w:rPr>
          <w:rFonts w:ascii="黑体" w:eastAsia="黑体"/>
          <w:b w:val="0"/>
          <w:color w:val="auto"/>
          <w:w w:val="100"/>
          <w:sz w:val="32"/>
          <w:szCs w:val="32"/>
        </w:rPr>
        <w:t>第三部分</w:t>
      </w:r>
      <w:r>
        <w:rPr>
          <w:rFonts w:hint="eastAsia" w:ascii="黑体" w:eastAsia="黑体"/>
          <w:b w:val="0"/>
          <w:color w:val="auto"/>
          <w:w w:val="100"/>
          <w:sz w:val="32"/>
          <w:szCs w:val="32"/>
          <w:lang w:val="en-US" w:eastAsia="zh-CN"/>
        </w:rPr>
        <w:t xml:space="preserve"> </w:t>
      </w:r>
      <w:r>
        <w:rPr>
          <w:rFonts w:ascii="黑体" w:eastAsia="黑体"/>
          <w:b w:val="0"/>
          <w:color w:val="auto"/>
          <w:w w:val="100"/>
          <w:sz w:val="32"/>
          <w:szCs w:val="32"/>
        </w:rPr>
        <w:t>专业名词解释</w:t>
      </w:r>
    </w:p>
    <w:p w14:paraId="62997F6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一、财政拨款收入：</w:t>
      </w:r>
      <w:r>
        <w:rPr>
          <w:rFonts w:ascii="仿宋_GB2312" w:eastAsia="仿宋_GB2312"/>
          <w:b w:val="0"/>
          <w:color w:val="auto"/>
          <w:w w:val="100"/>
          <w:sz w:val="32"/>
          <w:szCs w:val="32"/>
        </w:rPr>
        <w:t>指同级财政当年拨付的资金。</w:t>
      </w:r>
    </w:p>
    <w:p w14:paraId="69EEFFE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二、上级补助收入：</w:t>
      </w:r>
      <w:r>
        <w:rPr>
          <w:rFonts w:ascii="仿宋_GB2312" w:eastAsia="仿宋_GB2312"/>
          <w:b w:val="0"/>
          <w:color w:val="auto"/>
          <w:w w:val="100"/>
          <w:sz w:val="32"/>
          <w:szCs w:val="32"/>
        </w:rPr>
        <w:t>指事业单位从主管部门和上级单位取得的非财政补助收入。</w:t>
      </w:r>
    </w:p>
    <w:p w14:paraId="153AB89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三、事业收入：</w:t>
      </w:r>
      <w:r>
        <w:rPr>
          <w:rFonts w:ascii="仿宋_GB2312" w:eastAsia="仿宋_GB2312"/>
          <w:b w:val="0"/>
          <w:color w:val="auto"/>
          <w:w w:val="100"/>
          <w:sz w:val="32"/>
          <w:szCs w:val="32"/>
        </w:rPr>
        <w:t>指事业单位开展专业业务活动及其辅助活动所取得的收入。</w:t>
      </w:r>
    </w:p>
    <w:p w14:paraId="49662AE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四、经营收入：</w:t>
      </w:r>
      <w:r>
        <w:rPr>
          <w:rFonts w:ascii="仿宋_GB2312" w:eastAsia="仿宋_GB2312"/>
          <w:b w:val="0"/>
          <w:color w:val="auto"/>
          <w:w w:val="100"/>
          <w:sz w:val="32"/>
          <w:szCs w:val="32"/>
        </w:rPr>
        <w:t>指事业单位在专业业务活动及其辅助活动之外开展非独立核算经营活动取得的收入。</w:t>
      </w:r>
    </w:p>
    <w:p w14:paraId="066CDC1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五、附属单位上缴收入：</w:t>
      </w:r>
      <w:r>
        <w:rPr>
          <w:rFonts w:ascii="仿宋_GB2312" w:eastAsia="仿宋_GB2312"/>
          <w:b w:val="0"/>
          <w:color w:val="auto"/>
          <w:w w:val="100"/>
          <w:sz w:val="32"/>
          <w:szCs w:val="32"/>
        </w:rPr>
        <w:t>指事业单位附属的独立核算单位按有关规定上缴的收入。</w:t>
      </w:r>
    </w:p>
    <w:p w14:paraId="12E40B9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六、其他收入：</w:t>
      </w:r>
      <w:r>
        <w:rPr>
          <w:rFonts w:ascii="仿宋_GB2312" w:eastAsia="仿宋_GB2312"/>
          <w:b w:val="0"/>
          <w:color w:val="auto"/>
          <w:w w:val="100"/>
          <w:sz w:val="32"/>
          <w:szCs w:val="32"/>
        </w:rPr>
        <w:t>指除上述</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财政拨款收入</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事业收入</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经营收入</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附属单位上缴收入</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等之外取得的收入。</w:t>
      </w:r>
    </w:p>
    <w:p w14:paraId="355F4C1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七、年初结转和结余：</w:t>
      </w:r>
      <w:r>
        <w:rPr>
          <w:rFonts w:ascii="仿宋_GB2312" w:eastAsia="仿宋_GB2312"/>
          <w:b w:val="0"/>
          <w:color w:val="auto"/>
          <w:w w:val="100"/>
          <w:sz w:val="32"/>
          <w:szCs w:val="32"/>
        </w:rPr>
        <w:t>指以前年度支出预算因客观条件变化未执行完毕、结转到本年度按有关规定继续使用的资金，既包括财政拨款结转和结余，也包括事业收入、经营收入、其他收入的结转和结余。</w:t>
      </w:r>
    </w:p>
    <w:p w14:paraId="0C7B05D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八、年末结转和结余：</w:t>
      </w:r>
      <w:r>
        <w:rPr>
          <w:rFonts w:ascii="仿宋_GB2312" w:eastAsia="仿宋_GB2312"/>
          <w:b w:val="0"/>
          <w:color w:val="auto"/>
          <w:w w:val="10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0DBA4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九、基本支出：</w:t>
      </w:r>
      <w:r>
        <w:rPr>
          <w:rFonts w:ascii="仿宋_GB2312" w:eastAsia="仿宋_GB2312"/>
          <w:b w:val="0"/>
          <w:color w:val="auto"/>
          <w:w w:val="100"/>
          <w:sz w:val="32"/>
          <w:szCs w:val="32"/>
        </w:rPr>
        <w:t>指为保障机构正常运转、完成日常工作任务而发生的人员支出和公用支出。</w:t>
      </w:r>
    </w:p>
    <w:p w14:paraId="39760FC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十、项目支出：</w:t>
      </w:r>
      <w:r>
        <w:rPr>
          <w:rFonts w:ascii="仿宋_GB2312" w:eastAsia="仿宋_GB2312"/>
          <w:b w:val="0"/>
          <w:color w:val="auto"/>
          <w:w w:val="100"/>
          <w:sz w:val="32"/>
          <w:szCs w:val="32"/>
        </w:rPr>
        <w:t>指在基本支出之外为完成特定行政任务和事业发展目标所发生的支出。</w:t>
      </w:r>
    </w:p>
    <w:p w14:paraId="7267426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十一、经营支出：</w:t>
      </w:r>
      <w:r>
        <w:rPr>
          <w:rFonts w:ascii="仿宋_GB2312" w:eastAsia="仿宋_GB2312"/>
          <w:b w:val="0"/>
          <w:color w:val="auto"/>
          <w:w w:val="100"/>
          <w:sz w:val="32"/>
          <w:szCs w:val="32"/>
        </w:rPr>
        <w:t>指事业单位在专业业务活动及其辅助活动之外开展非独立核算经营活动发生的支出。</w:t>
      </w:r>
    </w:p>
    <w:p w14:paraId="7C1F312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十二、对附属单位补助支出：</w:t>
      </w:r>
      <w:r>
        <w:rPr>
          <w:rFonts w:ascii="仿宋_GB2312" w:eastAsia="仿宋_GB2312"/>
          <w:b w:val="0"/>
          <w:color w:val="auto"/>
          <w:w w:val="100"/>
          <w:sz w:val="32"/>
          <w:szCs w:val="32"/>
        </w:rPr>
        <w:t>指事业单位发生的用非财政预算资金对附属单位的补助支出。</w:t>
      </w:r>
    </w:p>
    <w:p w14:paraId="69D26DB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十三、</w:t>
      </w:r>
      <w:r>
        <w:rPr>
          <w:rFonts w:hint="eastAsia" w:ascii="仿宋_GB2312" w:eastAsia="仿宋_GB2312"/>
          <w:b/>
          <w:color w:val="auto"/>
          <w:w w:val="100"/>
          <w:sz w:val="32"/>
          <w:szCs w:val="32"/>
          <w:lang w:eastAsia="zh-CN"/>
        </w:rPr>
        <w:t>“</w:t>
      </w:r>
      <w:r>
        <w:rPr>
          <w:rFonts w:ascii="仿宋_GB2312" w:eastAsia="仿宋_GB2312"/>
          <w:b/>
          <w:color w:val="auto"/>
          <w:w w:val="100"/>
          <w:sz w:val="32"/>
          <w:szCs w:val="32"/>
        </w:rPr>
        <w:t>三公</w:t>
      </w:r>
      <w:r>
        <w:rPr>
          <w:rFonts w:hint="eastAsia" w:ascii="仿宋_GB2312" w:eastAsia="仿宋_GB2312"/>
          <w:b/>
          <w:color w:val="auto"/>
          <w:w w:val="100"/>
          <w:sz w:val="32"/>
          <w:szCs w:val="32"/>
          <w:lang w:eastAsia="zh-CN"/>
        </w:rPr>
        <w:t>”</w:t>
      </w:r>
      <w:r>
        <w:rPr>
          <w:rFonts w:ascii="仿宋_GB2312" w:eastAsia="仿宋_GB2312"/>
          <w:b/>
          <w:color w:val="auto"/>
          <w:w w:val="100"/>
          <w:sz w:val="32"/>
          <w:szCs w:val="32"/>
        </w:rPr>
        <w:t>经费：</w:t>
      </w:r>
      <w:r>
        <w:rPr>
          <w:rFonts w:ascii="仿宋_GB2312" w:eastAsia="仿宋_GB2312"/>
          <w:b w:val="0"/>
          <w:color w:val="auto"/>
          <w:w w:val="10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5B0B3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color w:val="auto"/>
          <w:w w:val="100"/>
          <w:sz w:val="32"/>
          <w:szCs w:val="32"/>
        </w:rPr>
      </w:pPr>
      <w:r>
        <w:rPr>
          <w:rFonts w:ascii="仿宋_GB2312" w:eastAsia="仿宋_GB2312"/>
          <w:b/>
          <w:color w:val="auto"/>
          <w:w w:val="100"/>
          <w:sz w:val="32"/>
          <w:szCs w:val="32"/>
        </w:rPr>
        <w:t>十四、机关运行经费：</w:t>
      </w:r>
      <w:r>
        <w:rPr>
          <w:rFonts w:ascii="仿宋_GB2312" w:eastAsia="仿宋_GB2312"/>
          <w:b w:val="0"/>
          <w:color w:val="auto"/>
          <w:w w:val="100"/>
          <w:sz w:val="32"/>
          <w:szCs w:val="32"/>
        </w:rPr>
        <w:t>行政单位和参照公务员法管理的事业单位财政拨款基本支出中的公用经费支出。</w:t>
      </w:r>
    </w:p>
    <w:p w14:paraId="7CC43818">
      <w:pPr>
        <w:keepNext w:val="0"/>
        <w:keepLines w:val="0"/>
        <w:pageBreakBefore w:val="0"/>
        <w:widowControl/>
        <w:kinsoku/>
        <w:wordWrap/>
        <w:overflowPunct/>
        <w:topLinePunct w:val="0"/>
        <w:autoSpaceDE/>
        <w:autoSpaceDN/>
        <w:bidi w:val="0"/>
        <w:adjustRightInd/>
        <w:snapToGrid/>
        <w:spacing w:line="560" w:lineRule="exact"/>
        <w:ind w:firstLine="0" w:firstLineChars="200"/>
        <w:textAlignment w:val="auto"/>
        <w:rPr>
          <w:color w:val="auto"/>
          <w:w w:val="100"/>
        </w:rPr>
      </w:pPr>
      <w:r>
        <w:rPr>
          <w:b w:val="0"/>
          <w:color w:val="auto"/>
          <w:w w:val="100"/>
          <w:sz w:val="0"/>
          <w:szCs w:val="0"/>
        </w:rPr>
        <w:br w:type="page"/>
      </w:r>
    </w:p>
    <w:p w14:paraId="462788E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center"/>
        <w:textAlignment w:val="auto"/>
        <w:outlineLvl w:val="0"/>
        <w:rPr>
          <w:rFonts w:ascii="黑体" w:eastAsia="黑体"/>
          <w:color w:val="auto"/>
          <w:w w:val="100"/>
          <w:sz w:val="32"/>
          <w:szCs w:val="32"/>
        </w:rPr>
      </w:pPr>
      <w:r>
        <w:rPr>
          <w:rFonts w:ascii="黑体" w:eastAsia="黑体"/>
          <w:b w:val="0"/>
          <w:color w:val="auto"/>
          <w:w w:val="100"/>
          <w:sz w:val="32"/>
          <w:szCs w:val="32"/>
        </w:rPr>
        <w:t>第四部分</w:t>
      </w:r>
      <w:r>
        <w:rPr>
          <w:rFonts w:hint="eastAsia" w:ascii="黑体" w:eastAsia="黑体"/>
          <w:b w:val="0"/>
          <w:color w:val="auto"/>
          <w:w w:val="100"/>
          <w:sz w:val="32"/>
          <w:szCs w:val="32"/>
          <w:lang w:val="en-US" w:eastAsia="zh-CN"/>
        </w:rPr>
        <w:t xml:space="preserve"> </w:t>
      </w:r>
      <w:r>
        <w:rPr>
          <w:rFonts w:ascii="黑体" w:eastAsia="黑体"/>
          <w:b w:val="0"/>
          <w:color w:val="auto"/>
          <w:w w:val="100"/>
          <w:sz w:val="32"/>
          <w:szCs w:val="32"/>
        </w:rPr>
        <w:t>部门决算报表（见附表）</w:t>
      </w:r>
    </w:p>
    <w:p w14:paraId="04CBE1C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一、《收入支出决算总表》</w:t>
      </w:r>
    </w:p>
    <w:p w14:paraId="046AFC6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二、《收入决算表》</w:t>
      </w:r>
    </w:p>
    <w:p w14:paraId="1CE134B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三、《支出决算表》</w:t>
      </w:r>
    </w:p>
    <w:p w14:paraId="5AA942F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四、《财政拨款收入支出决算总表》</w:t>
      </w:r>
    </w:p>
    <w:p w14:paraId="743D3D7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五、《一般公共预算财政拨款支出决算表》</w:t>
      </w:r>
    </w:p>
    <w:p w14:paraId="72821DB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六、《一般公共预算财政拨款基本支出决算表》</w:t>
      </w:r>
    </w:p>
    <w:p w14:paraId="07CE7E1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七、《政府性基金预算财政拨款收入支出决算表》</w:t>
      </w:r>
    </w:p>
    <w:p w14:paraId="277E261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八、《国有资本经营预算财政拨款收入支出决算表》</w:t>
      </w:r>
    </w:p>
    <w:p w14:paraId="78DD6CF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w w:val="100"/>
          <w:sz w:val="32"/>
          <w:szCs w:val="32"/>
        </w:rPr>
      </w:pPr>
      <w:r>
        <w:rPr>
          <w:rFonts w:ascii="仿宋_GB2312" w:eastAsia="仿宋_GB2312"/>
          <w:b w:val="0"/>
          <w:color w:val="auto"/>
          <w:w w:val="100"/>
          <w:sz w:val="32"/>
          <w:szCs w:val="32"/>
        </w:rPr>
        <w:t>九、《财政拨款</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三公</w:t>
      </w:r>
      <w:r>
        <w:rPr>
          <w:rFonts w:hint="eastAsia" w:ascii="仿宋_GB2312" w:eastAsia="仿宋_GB2312"/>
          <w:b w:val="0"/>
          <w:color w:val="auto"/>
          <w:w w:val="100"/>
          <w:sz w:val="32"/>
          <w:szCs w:val="32"/>
          <w:lang w:eastAsia="zh-CN"/>
        </w:rPr>
        <w:t>”</w:t>
      </w:r>
      <w:r>
        <w:rPr>
          <w:rFonts w:ascii="仿宋_GB2312" w:eastAsia="仿宋_GB2312"/>
          <w:b w:val="0"/>
          <w:color w:val="auto"/>
          <w:w w:val="100"/>
          <w:sz w:val="32"/>
          <w:szCs w:val="32"/>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77D98"/>
    <w:rsid w:val="0CE44E5D"/>
    <w:rsid w:val="0CFE4CF2"/>
    <w:rsid w:val="10913373"/>
    <w:rsid w:val="224C6D52"/>
    <w:rsid w:val="241F316F"/>
    <w:rsid w:val="27502EA8"/>
    <w:rsid w:val="275D0F82"/>
    <w:rsid w:val="27DF6B37"/>
    <w:rsid w:val="28504E67"/>
    <w:rsid w:val="36D047EC"/>
    <w:rsid w:val="39C40618"/>
    <w:rsid w:val="401E1124"/>
    <w:rsid w:val="42DD17A4"/>
    <w:rsid w:val="4A7B0CCA"/>
    <w:rsid w:val="54BD3B87"/>
    <w:rsid w:val="567043DA"/>
    <w:rsid w:val="5A4C63EF"/>
    <w:rsid w:val="5C59237E"/>
    <w:rsid w:val="5CD67734"/>
    <w:rsid w:val="66D31289"/>
    <w:rsid w:val="6BF53C7C"/>
    <w:rsid w:val="6C8B71C2"/>
    <w:rsid w:val="6F93404F"/>
    <w:rsid w:val="79764AED"/>
    <w:rsid w:val="7D5A1439"/>
    <w:rsid w:val="7DBC05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4992</Words>
  <Characters>5602</Characters>
  <TotalTime>19</TotalTime>
  <ScaleCrop>false</ScaleCrop>
  <LinksUpToDate>false</LinksUpToDate>
  <CharactersWithSpaces>5612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2025-08-14T10:27:00Z</dcterms:created>
  <dc:creator>Administrator</dc:creator>
  <cp:lastModifiedBy>18699217750</cp:lastModifiedBy>
  <cp:lastPrinted>2025-09-02T12:05:10Z</cp:lastPrinted>
  <dcterms:modified xsi:type="dcterms:W3CDTF">2025-09-02T12:05:44Z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eyJoZGlkIjoiMGE5NjRhZGEzYzE5ZmQxNTEwMDhhMWY3MGRhNDQxYTEiLCJ1c2VySWQiOiIxNjMyNzExMzEwIn0=</vt:lpwstr>
  </property>
  <property fmtid="{D5CDD505-2E9C-101B-9397-08002B2CF9AE}" pid="3" name="KSOProductBuildVer">
    <vt:lpwstr>2052-12.1.0.22529</vt:lpwstr>
  </property>
  <property fmtid="{D5CDD505-2E9C-101B-9397-08002B2CF9AE}" pid="4" name="ICV">
    <vt:lpwstr>6CD833B451C540F4914A3BD999CAADAA_13</vt:lpwstr>
  </property>
</Properties>
</file>