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jc w:val="left"/>
        <w:textAlignment w:val="auto"/>
        <w:rPr>
          <w:rFonts w:ascii="宋体" w:eastAsia="宋体"/>
          <w:sz w:val="32"/>
          <w:szCs w:val="32"/>
        </w:rPr>
      </w:pP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jc w:val="left"/>
        <w:textAlignment w:val="auto"/>
        <w:rPr>
          <w:rFonts w:ascii="宋体" w:eastAsia="宋体"/>
          <w:sz w:val="44"/>
          <w:szCs w:val="44"/>
        </w:rPr>
      </w:pP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jc w:val="left"/>
        <w:textAlignment w:val="auto"/>
        <w:rPr>
          <w:rFonts w:ascii="宋体" w:eastAsia="宋体"/>
          <w:sz w:val="44"/>
          <w:szCs w:val="44"/>
        </w:rPr>
      </w:pP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jc w:val="left"/>
        <w:textAlignment w:val="auto"/>
        <w:rPr>
          <w:rFonts w:ascii="宋体" w:eastAsia="宋体"/>
          <w:sz w:val="44"/>
          <w:szCs w:val="44"/>
        </w:rPr>
      </w:pP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jc w:val="center"/>
        <w:textAlignment w:val="auto"/>
        <w:outlineLvl w:val="0"/>
        <w:rPr>
          <w:rFonts w:ascii="宋体" w:eastAsia="黑体"/>
          <w:sz w:val="44"/>
          <w:szCs w:val="44"/>
        </w:rPr>
      </w:pPr>
      <w:r>
        <w:rPr>
          <w:rFonts w:ascii="宋体" w:eastAsia="黑体"/>
          <w:b w:val="0"/>
          <w:sz w:val="44"/>
          <w:szCs w:val="44"/>
        </w:rPr>
        <w:t>新疆维吾尔自治区粮油产品质量监督检验站</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jc w:val="center"/>
        <w:textAlignment w:val="auto"/>
        <w:outlineLvl w:val="0"/>
        <w:rPr>
          <w:rFonts w:ascii="黑体" w:eastAsia="黑体"/>
          <w:sz w:val="44"/>
          <w:szCs w:val="44"/>
        </w:rPr>
      </w:pPr>
      <w:r>
        <w:rPr>
          <w:rFonts w:ascii="黑体" w:eastAsia="黑体"/>
          <w:b w:val="0"/>
          <w:sz w:val="44"/>
          <w:szCs w:val="44"/>
        </w:rPr>
        <w:t>2024年度部门决算公开说明</w:t>
      </w:r>
    </w:p>
    <w:p>
      <w:pPr>
        <w:keepNext w:val="0"/>
        <w:keepLines w:val="0"/>
        <w:pageBreakBefore w:val="0"/>
        <w:widowControl/>
        <w:kinsoku/>
        <w:wordWrap/>
        <w:overflowPunct/>
        <w:topLinePunct w:val="0"/>
        <w:autoSpaceDE/>
        <w:autoSpaceDN/>
        <w:bidi w:val="0"/>
        <w:adjustRightInd/>
        <w:snapToGrid/>
        <w:spacing w:line="560" w:lineRule="exact"/>
        <w:textAlignment w:val="auto"/>
      </w:pPr>
      <w:r>
        <w:rPr>
          <w:b w:val="0"/>
          <w:sz w:val="0"/>
          <w:szCs w:val="0"/>
        </w:rPr>
        <w:br w:type="page"/>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jc w:val="center"/>
        <w:textAlignment w:val="auto"/>
        <w:rPr>
          <w:rFonts w:ascii="黑体" w:eastAsia="黑体"/>
          <w:sz w:val="32"/>
          <w:szCs w:val="32"/>
        </w:rPr>
      </w:pPr>
      <w:r>
        <w:rPr>
          <w:rFonts w:ascii="黑体" w:eastAsia="黑体"/>
          <w:b/>
          <w:sz w:val="32"/>
          <w:szCs w:val="32"/>
        </w:rPr>
        <w:t>目录</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jc w:val="left"/>
        <w:textAlignment w:val="auto"/>
        <w:rPr>
          <w:rFonts w:ascii="仿宋_GB2312" w:eastAsia="仿宋_GB2312"/>
          <w:sz w:val="32"/>
          <w:szCs w:val="32"/>
        </w:rPr>
      </w:pPr>
      <w:r>
        <w:rPr>
          <w:rFonts w:ascii="仿宋_GB2312" w:eastAsia="仿宋_GB2312"/>
          <w:b/>
          <w:sz w:val="32"/>
          <w:szCs w:val="32"/>
        </w:rPr>
        <w:t>第一部分单位概况</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jc w:val="left"/>
        <w:textAlignment w:val="auto"/>
        <w:rPr>
          <w:rFonts w:ascii="仿宋_GB2312" w:eastAsia="仿宋_GB2312"/>
          <w:sz w:val="32"/>
          <w:szCs w:val="32"/>
        </w:rPr>
      </w:pPr>
      <w:r>
        <w:rPr>
          <w:rFonts w:ascii="仿宋_GB2312" w:eastAsia="仿宋_GB2312"/>
          <w:b w:val="0"/>
          <w:sz w:val="32"/>
          <w:szCs w:val="32"/>
        </w:rPr>
        <w:t>一、主要职能</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jc w:val="left"/>
        <w:textAlignment w:val="auto"/>
        <w:rPr>
          <w:rFonts w:ascii="仿宋_GB2312" w:eastAsia="仿宋_GB2312"/>
          <w:sz w:val="32"/>
          <w:szCs w:val="32"/>
        </w:rPr>
      </w:pPr>
      <w:r>
        <w:rPr>
          <w:rFonts w:ascii="仿宋_GB2312" w:eastAsia="仿宋_GB2312"/>
          <w:b w:val="0"/>
          <w:sz w:val="32"/>
          <w:szCs w:val="32"/>
        </w:rPr>
        <w:t>二、机构设置及人员情况</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jc w:val="left"/>
        <w:textAlignment w:val="auto"/>
        <w:rPr>
          <w:rFonts w:ascii="仿宋_GB2312" w:eastAsia="仿宋_GB2312"/>
          <w:sz w:val="32"/>
          <w:szCs w:val="32"/>
        </w:rPr>
      </w:pPr>
      <w:r>
        <w:rPr>
          <w:rFonts w:ascii="仿宋_GB2312" w:eastAsia="仿宋_GB2312"/>
          <w:b/>
          <w:sz w:val="32"/>
          <w:szCs w:val="32"/>
        </w:rPr>
        <w:t>第二部分部门决算情况说明</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jc w:val="left"/>
        <w:textAlignment w:val="auto"/>
        <w:rPr>
          <w:rFonts w:ascii="仿宋_GB2312" w:eastAsia="仿宋_GB2312"/>
          <w:sz w:val="32"/>
          <w:szCs w:val="32"/>
        </w:rPr>
      </w:pPr>
      <w:r>
        <w:rPr>
          <w:rFonts w:ascii="仿宋_GB2312" w:eastAsia="仿宋_GB2312"/>
          <w:b w:val="0"/>
          <w:sz w:val="32"/>
          <w:szCs w:val="32"/>
        </w:rPr>
        <w:t>一、收入支出决算总体情况说明</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jc w:val="left"/>
        <w:textAlignment w:val="auto"/>
        <w:rPr>
          <w:rFonts w:ascii="仿宋_GB2312" w:eastAsia="仿宋_GB2312"/>
          <w:sz w:val="32"/>
          <w:szCs w:val="32"/>
        </w:rPr>
      </w:pPr>
      <w:r>
        <w:rPr>
          <w:rFonts w:ascii="仿宋_GB2312" w:eastAsia="仿宋_GB2312"/>
          <w:b w:val="0"/>
          <w:sz w:val="32"/>
          <w:szCs w:val="32"/>
        </w:rPr>
        <w:t>二、收入决算情况说明</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jc w:val="left"/>
        <w:textAlignment w:val="auto"/>
        <w:rPr>
          <w:rFonts w:ascii="仿宋_GB2312" w:eastAsia="仿宋_GB2312"/>
          <w:sz w:val="32"/>
          <w:szCs w:val="32"/>
        </w:rPr>
      </w:pPr>
      <w:r>
        <w:rPr>
          <w:rFonts w:ascii="仿宋_GB2312" w:eastAsia="仿宋_GB2312"/>
          <w:b w:val="0"/>
          <w:sz w:val="32"/>
          <w:szCs w:val="32"/>
        </w:rPr>
        <w:t>三、支出决算情况说明</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jc w:val="left"/>
        <w:textAlignment w:val="auto"/>
        <w:rPr>
          <w:rFonts w:ascii="仿宋_GB2312" w:eastAsia="仿宋_GB2312"/>
          <w:sz w:val="32"/>
          <w:szCs w:val="32"/>
        </w:rPr>
      </w:pPr>
      <w:r>
        <w:rPr>
          <w:rFonts w:ascii="仿宋_GB2312" w:eastAsia="仿宋_GB2312"/>
          <w:b w:val="0"/>
          <w:sz w:val="32"/>
          <w:szCs w:val="32"/>
        </w:rPr>
        <w:t>四、财政拨款收入支出决算总体情况说明</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jc w:val="left"/>
        <w:textAlignment w:val="auto"/>
        <w:rPr>
          <w:rFonts w:ascii="仿宋_GB2312" w:eastAsia="仿宋_GB2312"/>
          <w:sz w:val="32"/>
          <w:szCs w:val="32"/>
        </w:rPr>
      </w:pPr>
      <w:r>
        <w:rPr>
          <w:rFonts w:ascii="仿宋_GB2312" w:eastAsia="仿宋_GB2312"/>
          <w:b w:val="0"/>
          <w:sz w:val="32"/>
          <w:szCs w:val="32"/>
        </w:rPr>
        <w:t>五、一般公共预算财政拨款支出决算情况说明</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jc w:val="left"/>
        <w:textAlignment w:val="auto"/>
        <w:rPr>
          <w:rFonts w:ascii="仿宋_GB2312" w:eastAsia="仿宋_GB2312"/>
          <w:sz w:val="32"/>
          <w:szCs w:val="32"/>
        </w:rPr>
      </w:pPr>
      <w:r>
        <w:rPr>
          <w:rFonts w:ascii="仿宋_GB2312" w:eastAsia="仿宋_GB2312"/>
          <w:b w:val="0"/>
          <w:sz w:val="32"/>
          <w:szCs w:val="32"/>
        </w:rPr>
        <w:t>（一）一般公共预算财政拨款支出决算总体情况</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jc w:val="left"/>
        <w:textAlignment w:val="auto"/>
        <w:rPr>
          <w:rFonts w:ascii="仿宋_GB2312" w:eastAsia="仿宋_GB2312"/>
          <w:sz w:val="32"/>
          <w:szCs w:val="32"/>
        </w:rPr>
      </w:pPr>
      <w:r>
        <w:rPr>
          <w:rFonts w:ascii="仿宋_GB2312" w:eastAsia="仿宋_GB2312"/>
          <w:b w:val="0"/>
          <w:sz w:val="32"/>
          <w:szCs w:val="32"/>
        </w:rPr>
        <w:t>（二）一般公共预算财政拨款支出决算结构情况</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jc w:val="left"/>
        <w:textAlignment w:val="auto"/>
        <w:rPr>
          <w:rFonts w:ascii="仿宋_GB2312" w:eastAsia="仿宋_GB2312"/>
          <w:sz w:val="32"/>
          <w:szCs w:val="32"/>
        </w:rPr>
      </w:pPr>
      <w:r>
        <w:rPr>
          <w:rFonts w:ascii="仿宋_GB2312" w:eastAsia="仿宋_GB2312"/>
          <w:b w:val="0"/>
          <w:sz w:val="32"/>
          <w:szCs w:val="32"/>
        </w:rPr>
        <w:t>（三）一般公共预算财政拨款支出决算具体情况</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jc w:val="left"/>
        <w:textAlignment w:val="auto"/>
        <w:rPr>
          <w:rFonts w:ascii="仿宋_GB2312" w:eastAsia="仿宋_GB2312"/>
          <w:sz w:val="32"/>
          <w:szCs w:val="32"/>
        </w:rPr>
      </w:pPr>
      <w:r>
        <w:rPr>
          <w:rFonts w:ascii="仿宋_GB2312" w:eastAsia="仿宋_GB2312"/>
          <w:b w:val="0"/>
          <w:sz w:val="32"/>
          <w:szCs w:val="32"/>
        </w:rPr>
        <w:t>六、一般公共预算财政拨款基本支出决算情况说明</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jc w:val="left"/>
        <w:textAlignment w:val="auto"/>
        <w:rPr>
          <w:rFonts w:ascii="仿宋_GB2312" w:eastAsia="仿宋_GB2312"/>
          <w:sz w:val="32"/>
          <w:szCs w:val="32"/>
        </w:rPr>
      </w:pPr>
      <w:r>
        <w:rPr>
          <w:rFonts w:ascii="仿宋_GB2312" w:eastAsia="仿宋_GB2312"/>
          <w:b w:val="0"/>
          <w:sz w:val="32"/>
          <w:szCs w:val="32"/>
        </w:rPr>
        <w:t>七、政府性基金预算财政拨款收入支出决算情况说明</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jc w:val="left"/>
        <w:textAlignment w:val="auto"/>
        <w:rPr>
          <w:rFonts w:ascii="仿宋_GB2312" w:eastAsia="仿宋_GB2312"/>
          <w:sz w:val="32"/>
          <w:szCs w:val="32"/>
        </w:rPr>
      </w:pPr>
      <w:r>
        <w:rPr>
          <w:rFonts w:ascii="仿宋_GB2312" w:eastAsia="仿宋_GB2312"/>
          <w:b w:val="0"/>
          <w:sz w:val="32"/>
          <w:szCs w:val="32"/>
        </w:rPr>
        <w:t>八、国有资本经营预算财政拨款收入支出决算情况说明</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jc w:val="left"/>
        <w:textAlignment w:val="auto"/>
        <w:rPr>
          <w:rFonts w:ascii="仿宋_GB2312" w:eastAsia="仿宋_GB2312"/>
          <w:sz w:val="32"/>
          <w:szCs w:val="32"/>
        </w:rPr>
      </w:pPr>
      <w:r>
        <w:rPr>
          <w:rFonts w:ascii="仿宋_GB2312" w:eastAsia="仿宋_GB2312"/>
          <w:b w:val="0"/>
          <w:sz w:val="32"/>
          <w:szCs w:val="32"/>
        </w:rPr>
        <w:t>九、财政拨款</w:t>
      </w:r>
      <w:r>
        <w:rPr>
          <w:rFonts w:hint="eastAsia" w:ascii="仿宋_GB2312" w:eastAsia="仿宋_GB2312"/>
          <w:b w:val="0"/>
          <w:sz w:val="32"/>
          <w:szCs w:val="32"/>
          <w:lang w:eastAsia="zh-CN"/>
        </w:rPr>
        <w:t>“</w:t>
      </w:r>
      <w:r>
        <w:rPr>
          <w:rFonts w:ascii="仿宋_GB2312" w:eastAsia="仿宋_GB2312"/>
          <w:b w:val="0"/>
          <w:sz w:val="32"/>
          <w:szCs w:val="32"/>
        </w:rPr>
        <w:t>三公</w:t>
      </w:r>
      <w:r>
        <w:rPr>
          <w:rFonts w:hint="eastAsia" w:ascii="仿宋_GB2312" w:eastAsia="仿宋_GB2312"/>
          <w:b w:val="0"/>
          <w:sz w:val="32"/>
          <w:szCs w:val="32"/>
          <w:lang w:eastAsia="zh-CN"/>
        </w:rPr>
        <w:t>”</w:t>
      </w:r>
      <w:r>
        <w:rPr>
          <w:rFonts w:ascii="仿宋_GB2312" w:eastAsia="仿宋_GB2312"/>
          <w:b w:val="0"/>
          <w:sz w:val="32"/>
          <w:szCs w:val="32"/>
        </w:rPr>
        <w:t>经费支出决算情况说明</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jc w:val="left"/>
        <w:textAlignment w:val="auto"/>
        <w:rPr>
          <w:rFonts w:ascii="仿宋_GB2312" w:eastAsia="仿宋_GB2312"/>
          <w:sz w:val="32"/>
          <w:szCs w:val="32"/>
        </w:rPr>
      </w:pPr>
      <w:r>
        <w:rPr>
          <w:rFonts w:ascii="仿宋_GB2312" w:eastAsia="仿宋_GB2312"/>
          <w:b w:val="0"/>
          <w:sz w:val="32"/>
          <w:szCs w:val="32"/>
        </w:rPr>
        <w:t>十、其他重要事项的情况说明</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jc w:val="left"/>
        <w:textAlignment w:val="auto"/>
        <w:rPr>
          <w:rFonts w:ascii="仿宋_GB2312" w:eastAsia="仿宋_GB2312"/>
          <w:sz w:val="32"/>
          <w:szCs w:val="32"/>
        </w:rPr>
      </w:pPr>
      <w:r>
        <w:rPr>
          <w:rFonts w:ascii="仿宋_GB2312" w:eastAsia="仿宋_GB2312"/>
          <w:b w:val="0"/>
          <w:sz w:val="32"/>
          <w:szCs w:val="32"/>
        </w:rPr>
        <w:t>（一）机关运行经费及公用经费支出情况</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jc w:val="left"/>
        <w:textAlignment w:val="auto"/>
        <w:rPr>
          <w:rFonts w:ascii="仿宋_GB2312" w:eastAsia="仿宋_GB2312"/>
          <w:sz w:val="32"/>
          <w:szCs w:val="32"/>
        </w:rPr>
      </w:pPr>
      <w:r>
        <w:rPr>
          <w:rFonts w:ascii="仿宋_GB2312" w:eastAsia="仿宋_GB2312"/>
          <w:b w:val="0"/>
          <w:sz w:val="32"/>
          <w:szCs w:val="32"/>
        </w:rPr>
        <w:t>（二）政府采购情况</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jc w:val="left"/>
        <w:textAlignment w:val="auto"/>
        <w:rPr>
          <w:rFonts w:ascii="仿宋_GB2312" w:eastAsia="仿宋_GB2312"/>
          <w:sz w:val="32"/>
          <w:szCs w:val="32"/>
        </w:rPr>
      </w:pPr>
      <w:r>
        <w:rPr>
          <w:rFonts w:ascii="仿宋_GB2312" w:eastAsia="仿宋_GB2312"/>
          <w:b w:val="0"/>
          <w:sz w:val="32"/>
          <w:szCs w:val="32"/>
        </w:rPr>
        <w:t>（三）国有资产占用情况说明</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jc w:val="left"/>
        <w:textAlignment w:val="auto"/>
        <w:rPr>
          <w:rFonts w:ascii="仿宋_GB2312" w:eastAsia="仿宋_GB2312"/>
          <w:sz w:val="32"/>
          <w:szCs w:val="32"/>
        </w:rPr>
      </w:pPr>
      <w:r>
        <w:rPr>
          <w:rFonts w:ascii="仿宋_GB2312" w:eastAsia="仿宋_GB2312"/>
          <w:b w:val="0"/>
          <w:sz w:val="32"/>
          <w:szCs w:val="32"/>
        </w:rPr>
        <w:t>十一、预算绩效的情况说明</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jc w:val="left"/>
        <w:textAlignment w:val="auto"/>
        <w:rPr>
          <w:rFonts w:ascii="仿宋_GB2312" w:eastAsia="仿宋_GB2312"/>
          <w:sz w:val="32"/>
          <w:szCs w:val="32"/>
        </w:rPr>
      </w:pPr>
      <w:r>
        <w:rPr>
          <w:rFonts w:ascii="仿宋_GB2312" w:eastAsia="仿宋_GB2312"/>
          <w:b w:val="0"/>
          <w:sz w:val="32"/>
          <w:szCs w:val="32"/>
        </w:rPr>
        <w:t>十二、其他需说明的事项</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jc w:val="left"/>
        <w:textAlignment w:val="auto"/>
        <w:rPr>
          <w:rFonts w:ascii="仿宋_GB2312" w:eastAsia="仿宋_GB2312"/>
          <w:sz w:val="32"/>
          <w:szCs w:val="32"/>
        </w:rPr>
      </w:pPr>
      <w:r>
        <w:rPr>
          <w:rFonts w:ascii="仿宋_GB2312" w:eastAsia="仿宋_GB2312"/>
          <w:b/>
          <w:sz w:val="32"/>
          <w:szCs w:val="32"/>
        </w:rPr>
        <w:t>第三部分专业名词解释</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jc w:val="left"/>
        <w:textAlignment w:val="auto"/>
        <w:rPr>
          <w:rFonts w:ascii="仿宋_GB2312" w:eastAsia="仿宋_GB2312"/>
          <w:sz w:val="32"/>
          <w:szCs w:val="32"/>
        </w:rPr>
      </w:pPr>
      <w:r>
        <w:rPr>
          <w:rFonts w:ascii="仿宋_GB2312" w:eastAsia="仿宋_GB2312"/>
          <w:b/>
          <w:sz w:val="32"/>
          <w:szCs w:val="32"/>
        </w:rPr>
        <w:t>第四部分部门决算报表（见附表）</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jc w:val="left"/>
        <w:textAlignment w:val="auto"/>
        <w:rPr>
          <w:rFonts w:ascii="仿宋_GB2312" w:eastAsia="仿宋_GB2312"/>
          <w:sz w:val="32"/>
          <w:szCs w:val="32"/>
        </w:rPr>
      </w:pPr>
      <w:r>
        <w:rPr>
          <w:rFonts w:ascii="仿宋_GB2312" w:eastAsia="仿宋_GB2312"/>
          <w:b w:val="0"/>
          <w:sz w:val="32"/>
          <w:szCs w:val="32"/>
        </w:rPr>
        <w:t>一、《收入支出决算总表》</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jc w:val="left"/>
        <w:textAlignment w:val="auto"/>
        <w:rPr>
          <w:rFonts w:ascii="仿宋_GB2312" w:eastAsia="仿宋_GB2312"/>
          <w:sz w:val="32"/>
          <w:szCs w:val="32"/>
        </w:rPr>
      </w:pPr>
      <w:r>
        <w:rPr>
          <w:rFonts w:ascii="仿宋_GB2312" w:eastAsia="仿宋_GB2312"/>
          <w:b w:val="0"/>
          <w:sz w:val="32"/>
          <w:szCs w:val="32"/>
        </w:rPr>
        <w:t>二、《收入决算表》</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jc w:val="left"/>
        <w:textAlignment w:val="auto"/>
        <w:rPr>
          <w:rFonts w:ascii="仿宋_GB2312" w:eastAsia="仿宋_GB2312"/>
          <w:sz w:val="32"/>
          <w:szCs w:val="32"/>
        </w:rPr>
      </w:pPr>
      <w:r>
        <w:rPr>
          <w:rFonts w:ascii="仿宋_GB2312" w:eastAsia="仿宋_GB2312"/>
          <w:b w:val="0"/>
          <w:sz w:val="32"/>
          <w:szCs w:val="32"/>
        </w:rPr>
        <w:t>三、《支出决算表》</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jc w:val="left"/>
        <w:textAlignment w:val="auto"/>
        <w:rPr>
          <w:rFonts w:ascii="仿宋_GB2312" w:eastAsia="仿宋_GB2312"/>
          <w:sz w:val="32"/>
          <w:szCs w:val="32"/>
        </w:rPr>
      </w:pPr>
      <w:r>
        <w:rPr>
          <w:rFonts w:ascii="仿宋_GB2312" w:eastAsia="仿宋_GB2312"/>
          <w:b w:val="0"/>
          <w:sz w:val="32"/>
          <w:szCs w:val="32"/>
        </w:rPr>
        <w:t>四、《财政拨款收入支出决算总表》</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jc w:val="left"/>
        <w:textAlignment w:val="auto"/>
        <w:rPr>
          <w:rFonts w:ascii="仿宋_GB2312" w:eastAsia="仿宋_GB2312"/>
          <w:sz w:val="32"/>
          <w:szCs w:val="32"/>
        </w:rPr>
      </w:pPr>
      <w:r>
        <w:rPr>
          <w:rFonts w:ascii="仿宋_GB2312" w:eastAsia="仿宋_GB2312"/>
          <w:b w:val="0"/>
          <w:sz w:val="32"/>
          <w:szCs w:val="32"/>
        </w:rPr>
        <w:t>五、《一般公共预算财政拨款支出决算表》</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jc w:val="left"/>
        <w:textAlignment w:val="auto"/>
        <w:rPr>
          <w:rFonts w:ascii="仿宋_GB2312" w:eastAsia="仿宋_GB2312"/>
          <w:sz w:val="32"/>
          <w:szCs w:val="32"/>
        </w:rPr>
      </w:pPr>
      <w:r>
        <w:rPr>
          <w:rFonts w:ascii="仿宋_GB2312" w:eastAsia="仿宋_GB2312"/>
          <w:b w:val="0"/>
          <w:sz w:val="32"/>
          <w:szCs w:val="32"/>
        </w:rPr>
        <w:t>六、《一般公共预算财政拨款基本支出决算表》</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jc w:val="left"/>
        <w:textAlignment w:val="auto"/>
        <w:rPr>
          <w:rFonts w:ascii="仿宋_GB2312" w:eastAsia="仿宋_GB2312"/>
          <w:sz w:val="32"/>
          <w:szCs w:val="32"/>
        </w:rPr>
      </w:pPr>
      <w:r>
        <w:rPr>
          <w:rFonts w:ascii="仿宋_GB2312" w:eastAsia="仿宋_GB2312"/>
          <w:b w:val="0"/>
          <w:sz w:val="32"/>
          <w:szCs w:val="32"/>
        </w:rPr>
        <w:t>七、《政府性基金预算财政拨款收入支出决算表》</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jc w:val="left"/>
        <w:textAlignment w:val="auto"/>
        <w:rPr>
          <w:rFonts w:ascii="仿宋_GB2312" w:eastAsia="仿宋_GB2312"/>
          <w:sz w:val="32"/>
          <w:szCs w:val="32"/>
        </w:rPr>
      </w:pPr>
      <w:r>
        <w:rPr>
          <w:rFonts w:ascii="仿宋_GB2312" w:eastAsia="仿宋_GB2312"/>
          <w:b w:val="0"/>
          <w:sz w:val="32"/>
          <w:szCs w:val="32"/>
        </w:rPr>
        <w:t>八、《国有资本经营预算财政拨款收入支出决算表》</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jc w:val="left"/>
        <w:textAlignment w:val="auto"/>
        <w:rPr>
          <w:rFonts w:ascii="仿宋_GB2312" w:eastAsia="仿宋_GB2312"/>
          <w:sz w:val="32"/>
          <w:szCs w:val="32"/>
        </w:rPr>
      </w:pPr>
      <w:r>
        <w:rPr>
          <w:rFonts w:ascii="仿宋_GB2312" w:eastAsia="仿宋_GB2312"/>
          <w:b w:val="0"/>
          <w:sz w:val="32"/>
          <w:szCs w:val="32"/>
        </w:rPr>
        <w:t>九、《财政拨款</w:t>
      </w:r>
      <w:r>
        <w:rPr>
          <w:rFonts w:hint="eastAsia" w:ascii="仿宋_GB2312" w:eastAsia="仿宋_GB2312"/>
          <w:b w:val="0"/>
          <w:sz w:val="32"/>
          <w:szCs w:val="32"/>
          <w:lang w:eastAsia="zh-CN"/>
        </w:rPr>
        <w:t>“</w:t>
      </w:r>
      <w:r>
        <w:rPr>
          <w:rFonts w:ascii="仿宋_GB2312" w:eastAsia="仿宋_GB2312"/>
          <w:b w:val="0"/>
          <w:sz w:val="32"/>
          <w:szCs w:val="32"/>
        </w:rPr>
        <w:t>三公</w:t>
      </w:r>
      <w:r>
        <w:rPr>
          <w:rFonts w:hint="eastAsia" w:ascii="仿宋_GB2312" w:eastAsia="仿宋_GB2312"/>
          <w:b w:val="0"/>
          <w:sz w:val="32"/>
          <w:szCs w:val="32"/>
          <w:lang w:eastAsia="zh-CN"/>
        </w:rPr>
        <w:t>”</w:t>
      </w:r>
      <w:r>
        <w:rPr>
          <w:rFonts w:ascii="仿宋_GB2312" w:eastAsia="仿宋_GB2312"/>
          <w:b w:val="0"/>
          <w:sz w:val="32"/>
          <w:szCs w:val="32"/>
        </w:rPr>
        <w:t>经费支出决算表》</w:t>
      </w:r>
    </w:p>
    <w:p>
      <w:pPr>
        <w:keepNext w:val="0"/>
        <w:keepLines w:val="0"/>
        <w:pageBreakBefore w:val="0"/>
        <w:widowControl/>
        <w:kinsoku/>
        <w:wordWrap/>
        <w:overflowPunct/>
        <w:topLinePunct w:val="0"/>
        <w:autoSpaceDE/>
        <w:autoSpaceDN/>
        <w:bidi w:val="0"/>
        <w:adjustRightInd/>
        <w:snapToGrid/>
        <w:spacing w:line="560" w:lineRule="exact"/>
        <w:textAlignment w:val="auto"/>
      </w:pPr>
      <w:r>
        <w:rPr>
          <w:b w:val="0"/>
          <w:sz w:val="0"/>
          <w:szCs w:val="0"/>
        </w:rPr>
        <w:br w:type="page"/>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jc w:val="center"/>
        <w:textAlignment w:val="auto"/>
        <w:outlineLvl w:val="0"/>
        <w:rPr>
          <w:rFonts w:ascii="黑体" w:eastAsia="黑体"/>
          <w:sz w:val="32"/>
          <w:szCs w:val="32"/>
        </w:rPr>
      </w:pPr>
      <w:r>
        <w:rPr>
          <w:rFonts w:ascii="黑体" w:eastAsia="黑体"/>
          <w:b w:val="0"/>
          <w:sz w:val="32"/>
          <w:szCs w:val="32"/>
        </w:rPr>
        <w:t>第一部分单位概况</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left"/>
        <w:textAlignment w:val="auto"/>
        <w:outlineLvl w:val="1"/>
        <w:rPr>
          <w:rFonts w:ascii="黑体" w:eastAsia="黑体"/>
          <w:sz w:val="32"/>
          <w:szCs w:val="32"/>
        </w:rPr>
      </w:pPr>
      <w:r>
        <w:rPr>
          <w:rFonts w:ascii="黑体" w:eastAsia="黑体"/>
          <w:b w:val="0"/>
          <w:sz w:val="32"/>
          <w:szCs w:val="32"/>
        </w:rPr>
        <w:t>一、主要职能</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both"/>
        <w:textAlignment w:val="auto"/>
        <w:rPr>
          <w:rFonts w:hint="eastAsia" w:ascii="仿宋_GB2312" w:eastAsia="仿宋_GB2312"/>
          <w:b w:val="0"/>
          <w:color w:val="auto"/>
          <w:sz w:val="32"/>
          <w:szCs w:val="32"/>
          <w:lang w:eastAsia="zh-CN"/>
        </w:rPr>
      </w:pPr>
      <w:r>
        <w:rPr>
          <w:rFonts w:hint="eastAsia" w:ascii="仿宋_GB2312" w:eastAsia="仿宋_GB2312"/>
          <w:b w:val="0"/>
          <w:color w:val="auto"/>
          <w:sz w:val="32"/>
          <w:szCs w:val="32"/>
        </w:rPr>
        <w:t>新疆粮油产品质量监督检验站系新疆维吾尔自治区粮食和物资储备局下属差额拨款事业单位，按照国家、自治区有关法律法规和政策，开展粮油产品质量监督检验、委托检验和仲裁检验等工作。同时，还承担着质量标准制（修）订、人员培训、技术咨询服务等工作</w:t>
      </w:r>
      <w:r>
        <w:rPr>
          <w:rFonts w:hint="eastAsia" w:ascii="仿宋_GB2312" w:eastAsia="仿宋_GB2312"/>
          <w:b w:val="0"/>
          <w:color w:val="auto"/>
          <w:sz w:val="32"/>
          <w:szCs w:val="32"/>
          <w:lang w:eastAsia="zh-CN"/>
        </w:rPr>
        <w:t>。</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left"/>
        <w:textAlignment w:val="auto"/>
        <w:outlineLvl w:val="1"/>
        <w:rPr>
          <w:rFonts w:ascii="黑体" w:eastAsia="黑体"/>
          <w:sz w:val="32"/>
          <w:szCs w:val="32"/>
        </w:rPr>
      </w:pPr>
      <w:r>
        <w:rPr>
          <w:rFonts w:ascii="黑体" w:eastAsia="黑体"/>
          <w:b w:val="0"/>
          <w:sz w:val="32"/>
          <w:szCs w:val="32"/>
        </w:rPr>
        <w:t>二、机构设置及人员情况</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both"/>
        <w:textAlignment w:val="auto"/>
        <w:rPr>
          <w:rFonts w:hint="eastAsia" w:ascii="仿宋_GB2312" w:eastAsia="仿宋_GB2312"/>
          <w:b w:val="0"/>
          <w:color w:val="auto"/>
          <w:sz w:val="32"/>
          <w:szCs w:val="32"/>
          <w:lang w:eastAsia="zh-CN"/>
        </w:rPr>
      </w:pPr>
      <w:r>
        <w:rPr>
          <w:rFonts w:ascii="仿宋_GB2312" w:eastAsia="仿宋_GB2312"/>
          <w:b w:val="0"/>
          <w:color w:val="auto"/>
          <w:sz w:val="32"/>
          <w:szCs w:val="32"/>
        </w:rPr>
        <w:t>新疆维吾尔自治区粮油产品质量监督检验站2024年度，实有人数45人，其中：在职人员21人，</w:t>
      </w:r>
      <w:r>
        <w:rPr>
          <w:rFonts w:hint="eastAsia" w:ascii="仿宋_GB2312" w:eastAsia="仿宋_GB2312"/>
          <w:b w:val="0"/>
          <w:color w:val="auto"/>
          <w:sz w:val="32"/>
          <w:szCs w:val="32"/>
          <w:lang w:eastAsia="zh-CN"/>
        </w:rPr>
        <w:t>增加</w:t>
      </w:r>
      <w:r>
        <w:rPr>
          <w:rFonts w:hint="eastAsia" w:ascii="仿宋_GB2312" w:eastAsia="仿宋_GB2312"/>
          <w:b w:val="0"/>
          <w:color w:val="auto"/>
          <w:sz w:val="32"/>
          <w:szCs w:val="32"/>
          <w:lang w:val="en-US" w:eastAsia="zh-CN"/>
        </w:rPr>
        <w:t>0人</w:t>
      </w:r>
      <w:r>
        <w:rPr>
          <w:rFonts w:ascii="仿宋_GB2312" w:eastAsia="仿宋_GB2312"/>
          <w:b w:val="0"/>
          <w:color w:val="auto"/>
          <w:sz w:val="32"/>
          <w:szCs w:val="32"/>
        </w:rPr>
        <w:t>；离休人员0人，</w:t>
      </w:r>
      <w:r>
        <w:rPr>
          <w:rFonts w:hint="eastAsia" w:ascii="仿宋_GB2312" w:eastAsia="仿宋_GB2312"/>
          <w:b w:val="0"/>
          <w:color w:val="auto"/>
          <w:sz w:val="32"/>
          <w:szCs w:val="32"/>
          <w:lang w:eastAsia="zh-CN"/>
        </w:rPr>
        <w:t>增加</w:t>
      </w:r>
      <w:r>
        <w:rPr>
          <w:rFonts w:hint="eastAsia" w:ascii="仿宋_GB2312" w:eastAsia="仿宋_GB2312"/>
          <w:b w:val="0"/>
          <w:color w:val="auto"/>
          <w:sz w:val="32"/>
          <w:szCs w:val="32"/>
          <w:lang w:val="en-US" w:eastAsia="zh-CN"/>
        </w:rPr>
        <w:t>0人</w:t>
      </w:r>
      <w:r>
        <w:rPr>
          <w:rFonts w:ascii="仿宋_GB2312" w:eastAsia="仿宋_GB2312"/>
          <w:b w:val="0"/>
          <w:color w:val="auto"/>
          <w:sz w:val="32"/>
          <w:szCs w:val="32"/>
        </w:rPr>
        <w:t>；退休人员24人，</w:t>
      </w:r>
      <w:r>
        <w:rPr>
          <w:rFonts w:hint="eastAsia" w:ascii="仿宋_GB2312" w:eastAsia="仿宋_GB2312"/>
          <w:b w:val="0"/>
          <w:color w:val="auto"/>
          <w:sz w:val="32"/>
          <w:szCs w:val="32"/>
          <w:lang w:eastAsia="zh-CN"/>
        </w:rPr>
        <w:t>增加</w:t>
      </w:r>
      <w:r>
        <w:rPr>
          <w:rFonts w:hint="eastAsia" w:ascii="仿宋_GB2312" w:eastAsia="仿宋_GB2312"/>
          <w:b w:val="0"/>
          <w:color w:val="auto"/>
          <w:sz w:val="32"/>
          <w:szCs w:val="32"/>
          <w:lang w:val="en-US" w:eastAsia="zh-CN"/>
        </w:rPr>
        <w:t>0人</w:t>
      </w:r>
      <w:r>
        <w:rPr>
          <w:rFonts w:hint="eastAsia" w:ascii="仿宋_GB2312" w:eastAsia="仿宋_GB2312"/>
          <w:b w:val="0"/>
          <w:color w:val="auto"/>
          <w:sz w:val="32"/>
          <w:szCs w:val="32"/>
          <w:lang w:eastAsia="zh-CN"/>
        </w:rPr>
        <w:t>。</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both"/>
        <w:textAlignment w:val="auto"/>
        <w:rPr>
          <w:rFonts w:ascii="仿宋_GB2312" w:eastAsia="仿宋_GB2312"/>
          <w:b w:val="0"/>
          <w:color w:val="auto"/>
          <w:sz w:val="32"/>
          <w:szCs w:val="32"/>
        </w:rPr>
      </w:pPr>
      <w:r>
        <w:rPr>
          <w:rFonts w:ascii="仿宋_GB2312" w:eastAsia="仿宋_GB2312"/>
          <w:b w:val="0"/>
          <w:color w:val="auto"/>
          <w:sz w:val="32"/>
          <w:szCs w:val="32"/>
        </w:rPr>
        <w:t>新疆维吾尔自治区粮油产品质量监督检验站无下属预算单位，下设</w:t>
      </w:r>
      <w:r>
        <w:rPr>
          <w:rFonts w:hint="eastAsia" w:ascii="仿宋_GB2312" w:eastAsia="仿宋_GB2312"/>
          <w:b w:val="0"/>
          <w:color w:val="auto"/>
          <w:sz w:val="32"/>
          <w:szCs w:val="32"/>
          <w:lang w:val="en-US" w:eastAsia="zh-CN"/>
        </w:rPr>
        <w:t>4</w:t>
      </w:r>
      <w:r>
        <w:rPr>
          <w:rFonts w:ascii="仿宋_GB2312" w:eastAsia="仿宋_GB2312"/>
          <w:b w:val="0"/>
          <w:color w:val="auto"/>
          <w:sz w:val="32"/>
          <w:szCs w:val="32"/>
        </w:rPr>
        <w:t>个</w:t>
      </w:r>
      <w:r>
        <w:rPr>
          <w:rFonts w:hint="eastAsia" w:ascii="仿宋_GB2312" w:eastAsia="仿宋_GB2312"/>
          <w:b w:val="0"/>
          <w:color w:val="auto"/>
          <w:sz w:val="32"/>
          <w:szCs w:val="32"/>
          <w:lang w:eastAsia="zh-CN"/>
        </w:rPr>
        <w:t>处室</w:t>
      </w:r>
      <w:r>
        <w:rPr>
          <w:rFonts w:ascii="仿宋_GB2312" w:eastAsia="仿宋_GB2312"/>
          <w:b w:val="0"/>
          <w:color w:val="auto"/>
          <w:sz w:val="32"/>
          <w:szCs w:val="32"/>
        </w:rPr>
        <w:t>，分别是：</w:t>
      </w:r>
      <w:r>
        <w:rPr>
          <w:rFonts w:hint="eastAsia" w:ascii="仿宋_GB2312" w:eastAsia="仿宋_GB2312"/>
          <w:b w:val="0"/>
          <w:color w:val="auto"/>
          <w:sz w:val="32"/>
          <w:szCs w:val="32"/>
        </w:rPr>
        <w:t>办公室、业务室、质量监督室、检验室</w:t>
      </w:r>
      <w:r>
        <w:rPr>
          <w:rFonts w:ascii="仿宋_GB2312" w:eastAsia="仿宋_GB2312"/>
          <w:b w:val="0"/>
          <w:color w:val="auto"/>
          <w:sz w:val="32"/>
          <w:szCs w:val="32"/>
        </w:rPr>
        <w:t>。</w:t>
      </w:r>
    </w:p>
    <w:p>
      <w:pPr>
        <w:keepNext w:val="0"/>
        <w:keepLines w:val="0"/>
        <w:pageBreakBefore w:val="0"/>
        <w:widowControl/>
        <w:kinsoku/>
        <w:wordWrap/>
        <w:overflowPunct/>
        <w:topLinePunct w:val="0"/>
        <w:autoSpaceDE/>
        <w:autoSpaceDN/>
        <w:bidi w:val="0"/>
        <w:adjustRightInd/>
        <w:snapToGrid/>
        <w:spacing w:line="560" w:lineRule="exact"/>
        <w:textAlignment w:val="auto"/>
      </w:pPr>
      <w:r>
        <w:rPr>
          <w:b w:val="0"/>
          <w:sz w:val="0"/>
          <w:szCs w:val="0"/>
        </w:rPr>
        <w:br w:type="page"/>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jc w:val="center"/>
        <w:textAlignment w:val="auto"/>
        <w:outlineLvl w:val="0"/>
        <w:rPr>
          <w:rFonts w:ascii="黑体" w:eastAsia="黑体"/>
          <w:sz w:val="32"/>
          <w:szCs w:val="32"/>
        </w:rPr>
      </w:pPr>
      <w:r>
        <w:rPr>
          <w:rFonts w:ascii="黑体" w:eastAsia="黑体"/>
          <w:b w:val="0"/>
          <w:sz w:val="32"/>
          <w:szCs w:val="32"/>
        </w:rPr>
        <w:t>第二部分部门决算情况说明</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left"/>
        <w:textAlignment w:val="auto"/>
        <w:outlineLvl w:val="1"/>
        <w:rPr>
          <w:rFonts w:ascii="黑体" w:eastAsia="黑体"/>
          <w:sz w:val="32"/>
          <w:szCs w:val="32"/>
        </w:rPr>
      </w:pPr>
      <w:r>
        <w:rPr>
          <w:rFonts w:ascii="黑体" w:eastAsia="黑体"/>
          <w:b w:val="0"/>
          <w:sz w:val="32"/>
          <w:szCs w:val="32"/>
        </w:rPr>
        <w:t>一、收入支出决算总体情况说明</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both"/>
        <w:textAlignment w:val="auto"/>
        <w:rPr>
          <w:rFonts w:ascii="仿宋_GB2312" w:eastAsia="仿宋_GB2312"/>
          <w:b w:val="0"/>
          <w:color w:val="auto"/>
          <w:sz w:val="32"/>
          <w:szCs w:val="32"/>
        </w:rPr>
      </w:pPr>
      <w:r>
        <w:rPr>
          <w:rFonts w:ascii="仿宋_GB2312" w:eastAsia="仿宋_GB2312"/>
          <w:b w:val="0"/>
          <w:color w:val="auto"/>
          <w:sz w:val="32"/>
          <w:szCs w:val="32"/>
        </w:rPr>
        <w:t>2024年度收入总计3,022.42万元，其中：本年收入合计2,705.23万元，使用非财政拨款结余（含专用结余）0.00万元，年初结转和结余317.19万元。</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both"/>
        <w:textAlignment w:val="auto"/>
        <w:rPr>
          <w:rFonts w:ascii="仿宋_GB2312" w:eastAsia="仿宋_GB2312"/>
          <w:b w:val="0"/>
          <w:color w:val="auto"/>
          <w:sz w:val="32"/>
          <w:szCs w:val="32"/>
        </w:rPr>
      </w:pPr>
      <w:r>
        <w:rPr>
          <w:rFonts w:ascii="仿宋_GB2312" w:eastAsia="仿宋_GB2312"/>
          <w:b w:val="0"/>
          <w:color w:val="auto"/>
          <w:sz w:val="32"/>
          <w:szCs w:val="32"/>
        </w:rPr>
        <w:t>2024年度支出总计3,022.42万元，其中：本年支出合计2,593.92万元，结余分配0.00万元，年末结转和结余428.49万元。</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both"/>
        <w:textAlignment w:val="auto"/>
        <w:rPr>
          <w:rFonts w:ascii="仿宋_GB2312" w:eastAsia="仿宋_GB2312"/>
          <w:b w:val="0"/>
          <w:color w:val="auto"/>
          <w:sz w:val="32"/>
          <w:szCs w:val="32"/>
        </w:rPr>
      </w:pPr>
      <w:r>
        <w:rPr>
          <w:rFonts w:ascii="仿宋_GB2312" w:eastAsia="仿宋_GB2312"/>
          <w:b w:val="0"/>
          <w:color w:val="auto"/>
          <w:sz w:val="32"/>
          <w:szCs w:val="32"/>
        </w:rPr>
        <w:t>收入支出总体与上年相比，增加1,833.65万元，增长154.25%，主要原因是：</w:t>
      </w:r>
      <w:r>
        <w:rPr>
          <w:rFonts w:hint="eastAsia" w:ascii="仿宋_GB2312" w:eastAsia="仿宋_GB2312"/>
          <w:b w:val="0"/>
          <w:color w:val="auto"/>
          <w:sz w:val="32"/>
          <w:szCs w:val="32"/>
          <w:lang w:val="en-US" w:eastAsia="zh-CN"/>
        </w:rPr>
        <w:t>年中增加实验室搬迁项目，导致收入支出增加</w:t>
      </w:r>
      <w:r>
        <w:rPr>
          <w:rFonts w:ascii="仿宋_GB2312" w:eastAsia="仿宋_GB2312"/>
          <w:b w:val="0"/>
          <w:color w:val="auto"/>
          <w:sz w:val="32"/>
          <w:szCs w:val="32"/>
        </w:rPr>
        <w:t>。</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left"/>
        <w:textAlignment w:val="auto"/>
        <w:outlineLvl w:val="1"/>
        <w:rPr>
          <w:rFonts w:ascii="黑体" w:eastAsia="黑体"/>
          <w:sz w:val="32"/>
          <w:szCs w:val="32"/>
        </w:rPr>
      </w:pPr>
      <w:r>
        <w:rPr>
          <w:rFonts w:ascii="黑体" w:eastAsia="黑体"/>
          <w:b w:val="0"/>
          <w:sz w:val="32"/>
          <w:szCs w:val="32"/>
        </w:rPr>
        <w:t>二、收入决算情况说明</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both"/>
        <w:textAlignment w:val="auto"/>
        <w:rPr>
          <w:rFonts w:ascii="仿宋_GB2312" w:eastAsia="仿宋_GB2312"/>
          <w:b w:val="0"/>
          <w:color w:val="auto"/>
          <w:sz w:val="32"/>
          <w:szCs w:val="32"/>
        </w:rPr>
      </w:pPr>
      <w:r>
        <w:rPr>
          <w:rFonts w:ascii="仿宋_GB2312" w:eastAsia="仿宋_GB2312"/>
          <w:b w:val="0"/>
          <w:color w:val="auto"/>
          <w:sz w:val="32"/>
          <w:szCs w:val="32"/>
        </w:rPr>
        <w:t>本年收入2,705.23万元，其中：财政拨款收入2,300.71万元,占85.05%；上级补助收入0.00万元,占0.00%；事业收入289.08万元，占10.69%；经营收入0.00万元,占0.00%；附属单位上缴收入0.00万元，占0.00%；其他收入115.45万元，占4.27%。</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left"/>
        <w:textAlignment w:val="auto"/>
        <w:outlineLvl w:val="1"/>
        <w:rPr>
          <w:rFonts w:ascii="黑体" w:eastAsia="黑体"/>
          <w:sz w:val="32"/>
          <w:szCs w:val="32"/>
        </w:rPr>
      </w:pPr>
      <w:r>
        <w:rPr>
          <w:rFonts w:ascii="黑体" w:eastAsia="黑体"/>
          <w:b w:val="0"/>
          <w:sz w:val="32"/>
          <w:szCs w:val="32"/>
        </w:rPr>
        <w:t>三、支出决算情况说明</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both"/>
        <w:textAlignment w:val="auto"/>
        <w:rPr>
          <w:rFonts w:ascii="仿宋_GB2312" w:eastAsia="仿宋_GB2312"/>
          <w:sz w:val="32"/>
          <w:szCs w:val="32"/>
        </w:rPr>
      </w:pPr>
      <w:r>
        <w:rPr>
          <w:rFonts w:ascii="仿宋_GB2312" w:eastAsia="仿宋_GB2312"/>
          <w:b w:val="0"/>
          <w:color w:val="auto"/>
          <w:sz w:val="32"/>
          <w:szCs w:val="32"/>
        </w:rPr>
        <w:t>本年支出2,593.92万元，其中：基本支出501.01万元，占19.31%；项目支出2,092.92万元，占80.69%；上缴上级支出0.00万元，占0.00%；经营支出0.00万元，占0.00%；对附属单位补助支出0.00万元，占0.00%</w:t>
      </w:r>
      <w:r>
        <w:rPr>
          <w:rFonts w:ascii="仿宋_GB2312" w:eastAsia="仿宋_GB2312"/>
          <w:b w:val="0"/>
          <w:sz w:val="32"/>
          <w:szCs w:val="32"/>
        </w:rPr>
        <w:t>。</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left"/>
        <w:textAlignment w:val="auto"/>
        <w:outlineLvl w:val="1"/>
        <w:rPr>
          <w:rFonts w:ascii="黑体" w:eastAsia="黑体"/>
          <w:sz w:val="32"/>
          <w:szCs w:val="32"/>
        </w:rPr>
      </w:pPr>
      <w:r>
        <w:rPr>
          <w:rFonts w:ascii="黑体" w:eastAsia="黑体"/>
          <w:b w:val="0"/>
          <w:sz w:val="32"/>
          <w:szCs w:val="32"/>
        </w:rPr>
        <w:t>四、财政拨款收入支出决算总体情况说明</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both"/>
        <w:textAlignment w:val="auto"/>
        <w:rPr>
          <w:rFonts w:ascii="仿宋_GB2312" w:eastAsia="仿宋_GB2312"/>
          <w:b w:val="0"/>
          <w:color w:val="auto"/>
          <w:sz w:val="32"/>
          <w:szCs w:val="32"/>
        </w:rPr>
      </w:pPr>
      <w:r>
        <w:rPr>
          <w:rFonts w:ascii="仿宋_GB2312" w:eastAsia="仿宋_GB2312"/>
          <w:b w:val="0"/>
          <w:color w:val="auto"/>
          <w:sz w:val="32"/>
          <w:szCs w:val="32"/>
        </w:rPr>
        <w:t>2024年度财政拨款收入总计2,300.71万元，其中：年初财政拨款结转和结余0.00万元，本年财政拨款收入2,300.71万元。财政拨款支出总计2,300.71万元，其中：年末财政拨款结转和结余0.00万元，本年财政拨款支出2,300.71万元。</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both"/>
        <w:textAlignment w:val="auto"/>
        <w:rPr>
          <w:rFonts w:ascii="仿宋_GB2312" w:eastAsia="仿宋_GB2312"/>
          <w:sz w:val="32"/>
          <w:szCs w:val="32"/>
        </w:rPr>
      </w:pPr>
      <w:r>
        <w:rPr>
          <w:rFonts w:ascii="仿宋_GB2312" w:eastAsia="仿宋_GB2312"/>
          <w:b w:val="0"/>
          <w:color w:val="auto"/>
          <w:sz w:val="32"/>
          <w:szCs w:val="32"/>
        </w:rPr>
        <w:t>财政拨款收入支出总体与上年相比，增加1,572.00万元，增长215.72%，主要原因是：</w:t>
      </w:r>
      <w:r>
        <w:rPr>
          <w:rFonts w:hint="eastAsia" w:ascii="仿宋_GB2312" w:eastAsia="仿宋_GB2312"/>
          <w:b w:val="0"/>
          <w:color w:val="auto"/>
          <w:sz w:val="32"/>
          <w:szCs w:val="32"/>
          <w:lang w:val="en-US" w:eastAsia="zh-CN"/>
        </w:rPr>
        <w:t>年中增加实验室搬迁项目，导致收入支出增加</w:t>
      </w:r>
      <w:r>
        <w:rPr>
          <w:rFonts w:ascii="仿宋_GB2312" w:eastAsia="仿宋_GB2312"/>
          <w:b w:val="0"/>
          <w:color w:val="auto"/>
          <w:sz w:val="32"/>
          <w:szCs w:val="32"/>
        </w:rPr>
        <w:t>。与年初预算相比，年初预算数562.07万元，决算数2,300.71万元，预决算差异率309.33%，主要原因是：</w:t>
      </w:r>
      <w:r>
        <w:rPr>
          <w:rFonts w:hint="eastAsia" w:ascii="仿宋_GB2312" w:eastAsia="仿宋_GB2312"/>
          <w:b w:val="0"/>
          <w:color w:val="auto"/>
          <w:sz w:val="32"/>
          <w:szCs w:val="32"/>
          <w:lang w:val="en-US" w:eastAsia="zh-CN"/>
        </w:rPr>
        <w:t>年中增加实验室搬迁项目，导致预决算存在差异</w:t>
      </w:r>
      <w:r>
        <w:rPr>
          <w:rFonts w:ascii="仿宋_GB2312" w:eastAsia="仿宋_GB2312"/>
          <w:b w:val="0"/>
          <w:sz w:val="32"/>
          <w:szCs w:val="32"/>
        </w:rPr>
        <w:t>。</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left"/>
        <w:textAlignment w:val="auto"/>
        <w:outlineLvl w:val="1"/>
        <w:rPr>
          <w:rFonts w:ascii="黑体" w:eastAsia="黑体"/>
          <w:sz w:val="32"/>
          <w:szCs w:val="32"/>
        </w:rPr>
      </w:pPr>
      <w:r>
        <w:rPr>
          <w:rFonts w:ascii="黑体" w:eastAsia="黑体"/>
          <w:b w:val="0"/>
          <w:sz w:val="32"/>
          <w:szCs w:val="32"/>
        </w:rPr>
        <w:t>五、一般公共预算财政拨款支出决算情况说明</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3" w:firstLineChars="200"/>
        <w:jc w:val="left"/>
        <w:textAlignment w:val="auto"/>
        <w:outlineLvl w:val="2"/>
        <w:rPr>
          <w:rFonts w:ascii="仿宋_GB2312" w:eastAsia="仿宋_GB2312"/>
          <w:sz w:val="32"/>
          <w:szCs w:val="32"/>
        </w:rPr>
      </w:pPr>
      <w:r>
        <w:rPr>
          <w:rFonts w:ascii="仿宋_GB2312" w:eastAsia="仿宋_GB2312"/>
          <w:b/>
          <w:sz w:val="32"/>
          <w:szCs w:val="32"/>
        </w:rPr>
        <w:t>（一）一般公共预算财政拨款支出决算总体情况</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both"/>
        <w:textAlignment w:val="auto"/>
        <w:rPr>
          <w:rFonts w:ascii="仿宋_GB2312" w:eastAsia="仿宋_GB2312"/>
          <w:b w:val="0"/>
          <w:color w:val="auto"/>
          <w:sz w:val="32"/>
          <w:szCs w:val="32"/>
        </w:rPr>
      </w:pPr>
      <w:r>
        <w:rPr>
          <w:rFonts w:ascii="仿宋_GB2312" w:eastAsia="仿宋_GB2312"/>
          <w:b w:val="0"/>
          <w:color w:val="auto"/>
          <w:sz w:val="32"/>
          <w:szCs w:val="32"/>
        </w:rPr>
        <w:t>2024年度一般公共预算财政拨款支出2,300.71万元，占本年支出合计的88.70%。与上年相比，增加1,572.00万元，增长215.72%，主要原因是：</w:t>
      </w:r>
      <w:r>
        <w:rPr>
          <w:rFonts w:hint="eastAsia" w:ascii="仿宋_GB2312" w:eastAsia="仿宋_GB2312"/>
          <w:b w:val="0"/>
          <w:color w:val="auto"/>
          <w:sz w:val="32"/>
          <w:szCs w:val="32"/>
          <w:lang w:val="en-US" w:eastAsia="zh-CN"/>
        </w:rPr>
        <w:t>年中增加实验室搬迁项目，导致支出增加</w:t>
      </w:r>
      <w:r>
        <w:rPr>
          <w:rFonts w:ascii="仿宋_GB2312" w:eastAsia="仿宋_GB2312"/>
          <w:b w:val="0"/>
          <w:color w:val="auto"/>
          <w:sz w:val="32"/>
          <w:szCs w:val="32"/>
        </w:rPr>
        <w:t>。与年初预算相比，年初预算数562.07万元，决算数2,300.71万元，预决算差异率309.33%，主要原因是：</w:t>
      </w:r>
      <w:r>
        <w:rPr>
          <w:rFonts w:hint="eastAsia" w:ascii="仿宋_GB2312" w:eastAsia="仿宋_GB2312"/>
          <w:b w:val="0"/>
          <w:color w:val="auto"/>
          <w:sz w:val="32"/>
          <w:szCs w:val="32"/>
          <w:lang w:val="en-US" w:eastAsia="zh-CN"/>
        </w:rPr>
        <w:t>年中追加实验室搬迁项目，导致预决算存在差异</w:t>
      </w:r>
      <w:r>
        <w:rPr>
          <w:rFonts w:ascii="仿宋_GB2312" w:eastAsia="仿宋_GB2312"/>
          <w:b w:val="0"/>
          <w:color w:val="auto"/>
          <w:sz w:val="32"/>
          <w:szCs w:val="32"/>
        </w:rPr>
        <w:t>。</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3" w:firstLineChars="200"/>
        <w:jc w:val="left"/>
        <w:textAlignment w:val="auto"/>
        <w:outlineLvl w:val="2"/>
        <w:rPr>
          <w:rFonts w:ascii="仿宋_GB2312" w:eastAsia="仿宋_GB2312"/>
          <w:sz w:val="32"/>
          <w:szCs w:val="32"/>
        </w:rPr>
      </w:pPr>
      <w:r>
        <w:rPr>
          <w:rFonts w:ascii="仿宋_GB2312" w:eastAsia="仿宋_GB2312"/>
          <w:b/>
          <w:sz w:val="32"/>
          <w:szCs w:val="32"/>
        </w:rPr>
        <w:t>（二）一般公共预算财政拨款支出决算结构情况</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both"/>
        <w:textAlignment w:val="auto"/>
        <w:rPr>
          <w:rFonts w:ascii="仿宋_GB2312" w:eastAsia="仿宋_GB2312"/>
          <w:b w:val="0"/>
          <w:color w:val="auto"/>
          <w:sz w:val="32"/>
          <w:szCs w:val="32"/>
        </w:rPr>
      </w:pPr>
      <w:r>
        <w:rPr>
          <w:rFonts w:hint="eastAsia" w:ascii="仿宋_GB2312" w:eastAsia="仿宋_GB2312"/>
          <w:b w:val="0"/>
          <w:color w:val="auto"/>
          <w:sz w:val="32"/>
          <w:szCs w:val="32"/>
          <w:lang w:val="en-US" w:eastAsia="zh-CN"/>
        </w:rPr>
        <w:t>1.</w:t>
      </w:r>
      <w:r>
        <w:rPr>
          <w:rFonts w:ascii="仿宋_GB2312" w:eastAsia="仿宋_GB2312"/>
          <w:b w:val="0"/>
          <w:color w:val="auto"/>
          <w:sz w:val="32"/>
          <w:szCs w:val="32"/>
        </w:rPr>
        <w:t>一般公共服务支出（类）6.96万元，占0.30%。</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both"/>
        <w:textAlignment w:val="auto"/>
        <w:rPr>
          <w:rFonts w:ascii="仿宋_GB2312" w:eastAsia="仿宋_GB2312"/>
          <w:b w:val="0"/>
          <w:color w:val="auto"/>
          <w:sz w:val="32"/>
          <w:szCs w:val="32"/>
        </w:rPr>
      </w:pPr>
      <w:r>
        <w:rPr>
          <w:rFonts w:hint="eastAsia" w:ascii="仿宋_GB2312" w:eastAsia="仿宋_GB2312"/>
          <w:b w:val="0"/>
          <w:color w:val="auto"/>
          <w:sz w:val="32"/>
          <w:szCs w:val="32"/>
          <w:lang w:val="en-US" w:eastAsia="zh-CN"/>
        </w:rPr>
        <w:t>2.</w:t>
      </w:r>
      <w:r>
        <w:rPr>
          <w:rFonts w:ascii="仿宋_GB2312" w:eastAsia="仿宋_GB2312"/>
          <w:b w:val="0"/>
          <w:color w:val="auto"/>
          <w:sz w:val="32"/>
          <w:szCs w:val="32"/>
        </w:rPr>
        <w:t>社会保障和就业支出（类）114.28万元，占4.97%。</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both"/>
        <w:textAlignment w:val="auto"/>
        <w:rPr>
          <w:rFonts w:ascii="仿宋_GB2312" w:eastAsia="仿宋_GB2312"/>
          <w:b w:val="0"/>
          <w:color w:val="auto"/>
          <w:sz w:val="32"/>
          <w:szCs w:val="32"/>
        </w:rPr>
      </w:pPr>
      <w:r>
        <w:rPr>
          <w:rFonts w:hint="eastAsia" w:ascii="仿宋_GB2312" w:eastAsia="仿宋_GB2312"/>
          <w:b w:val="0"/>
          <w:color w:val="auto"/>
          <w:sz w:val="32"/>
          <w:szCs w:val="32"/>
          <w:lang w:val="en-US" w:eastAsia="zh-CN"/>
        </w:rPr>
        <w:t>3.</w:t>
      </w:r>
      <w:r>
        <w:rPr>
          <w:rFonts w:ascii="仿宋_GB2312" w:eastAsia="仿宋_GB2312"/>
          <w:b w:val="0"/>
          <w:color w:val="auto"/>
          <w:sz w:val="32"/>
          <w:szCs w:val="32"/>
        </w:rPr>
        <w:t>卫生健康支出（类）36.08万元，占1.57%。</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both"/>
        <w:textAlignment w:val="auto"/>
        <w:rPr>
          <w:rFonts w:ascii="仿宋_GB2312" w:eastAsia="仿宋_GB2312"/>
          <w:b w:val="0"/>
          <w:color w:val="auto"/>
          <w:sz w:val="32"/>
          <w:szCs w:val="32"/>
        </w:rPr>
      </w:pPr>
      <w:r>
        <w:rPr>
          <w:rFonts w:hint="eastAsia" w:ascii="仿宋_GB2312" w:eastAsia="仿宋_GB2312"/>
          <w:b w:val="0"/>
          <w:color w:val="auto"/>
          <w:sz w:val="32"/>
          <w:szCs w:val="32"/>
          <w:lang w:val="en-US" w:eastAsia="zh-CN"/>
        </w:rPr>
        <w:t>4.</w:t>
      </w:r>
      <w:r>
        <w:rPr>
          <w:rFonts w:ascii="仿宋_GB2312" w:eastAsia="仿宋_GB2312"/>
          <w:b w:val="0"/>
          <w:color w:val="auto"/>
          <w:sz w:val="32"/>
          <w:szCs w:val="32"/>
        </w:rPr>
        <w:t>住房保障支出（类）29.86万元，占1.30%。</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both"/>
        <w:textAlignment w:val="auto"/>
        <w:rPr>
          <w:rFonts w:ascii="仿宋_GB2312" w:eastAsia="仿宋_GB2312"/>
          <w:b w:val="0"/>
          <w:color w:val="auto"/>
          <w:sz w:val="32"/>
          <w:szCs w:val="32"/>
        </w:rPr>
      </w:pPr>
      <w:r>
        <w:rPr>
          <w:rFonts w:hint="eastAsia" w:ascii="仿宋_GB2312" w:eastAsia="仿宋_GB2312"/>
          <w:b w:val="0"/>
          <w:color w:val="auto"/>
          <w:sz w:val="32"/>
          <w:szCs w:val="32"/>
          <w:lang w:val="en-US" w:eastAsia="zh-CN"/>
        </w:rPr>
        <w:t>5.</w:t>
      </w:r>
      <w:r>
        <w:rPr>
          <w:rFonts w:ascii="仿宋_GB2312" w:eastAsia="仿宋_GB2312"/>
          <w:b w:val="0"/>
          <w:color w:val="auto"/>
          <w:sz w:val="32"/>
          <w:szCs w:val="32"/>
        </w:rPr>
        <w:t>粮油物资储备支出（类）2,113.53万元，占91.86%。</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3" w:firstLineChars="200"/>
        <w:jc w:val="left"/>
        <w:textAlignment w:val="auto"/>
        <w:outlineLvl w:val="2"/>
        <w:rPr>
          <w:rFonts w:ascii="仿宋_GB2312" w:eastAsia="仿宋_GB2312"/>
          <w:sz w:val="32"/>
          <w:szCs w:val="32"/>
        </w:rPr>
      </w:pPr>
      <w:r>
        <w:rPr>
          <w:rFonts w:ascii="仿宋_GB2312" w:eastAsia="仿宋_GB2312"/>
          <w:b/>
          <w:sz w:val="32"/>
          <w:szCs w:val="32"/>
        </w:rPr>
        <w:t>（三）一般公共预算财政拨款支出决算具体情况</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both"/>
        <w:textAlignment w:val="auto"/>
        <w:rPr>
          <w:rFonts w:ascii="仿宋_GB2312" w:eastAsia="仿宋_GB2312"/>
          <w:b w:val="0"/>
          <w:color w:val="auto"/>
          <w:sz w:val="32"/>
          <w:szCs w:val="32"/>
        </w:rPr>
      </w:pPr>
      <w:r>
        <w:rPr>
          <w:rFonts w:ascii="仿宋_GB2312" w:eastAsia="仿宋_GB2312"/>
          <w:b w:val="0"/>
          <w:color w:val="auto"/>
          <w:sz w:val="32"/>
          <w:szCs w:val="32"/>
        </w:rPr>
        <w:t>一般公共服务支出（类）其他一般公共服务支出（款）其他一般公共服务支出（项）：支出决算数为6.96万元，比上年决算增加6.96万元，增长100.00%，主要原因是：</w:t>
      </w:r>
      <w:r>
        <w:rPr>
          <w:rFonts w:hint="eastAsia" w:ascii="仿宋_GB2312" w:eastAsia="仿宋_GB2312"/>
          <w:b w:val="0"/>
          <w:color w:val="auto"/>
          <w:sz w:val="32"/>
          <w:szCs w:val="32"/>
          <w:lang w:val="en-US" w:eastAsia="zh-CN"/>
        </w:rPr>
        <w:t>年中增加人员工资调增部分使用本科目支出，导致经费较上年增加</w:t>
      </w:r>
      <w:r>
        <w:rPr>
          <w:rFonts w:hint="eastAsia" w:ascii="仿宋_GB2312" w:eastAsia="仿宋_GB2312"/>
          <w:b w:val="0"/>
          <w:color w:val="auto"/>
          <w:sz w:val="32"/>
          <w:szCs w:val="32"/>
          <w:lang w:eastAsia="zh-CN"/>
        </w:rPr>
        <w:t>。</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both"/>
        <w:textAlignment w:val="auto"/>
        <w:rPr>
          <w:rFonts w:ascii="仿宋_GB2312" w:eastAsia="仿宋_GB2312"/>
          <w:b w:val="0"/>
          <w:color w:val="auto"/>
          <w:sz w:val="32"/>
          <w:szCs w:val="32"/>
        </w:rPr>
      </w:pPr>
      <w:r>
        <w:rPr>
          <w:rFonts w:ascii="仿宋_GB2312" w:eastAsia="仿宋_GB2312"/>
          <w:b w:val="0"/>
          <w:color w:val="auto"/>
          <w:sz w:val="32"/>
          <w:szCs w:val="32"/>
        </w:rPr>
        <w:t>社会保障和就业支出（类）行政事业单位养老支出（款）事业单位离退休（项）：支出决算数为54.56万元，比上年决算增加1.14万元，增长2.13%，主要原因是：</w:t>
      </w:r>
      <w:r>
        <w:rPr>
          <w:rFonts w:hint="eastAsia" w:ascii="仿宋_GB2312" w:eastAsia="仿宋_GB2312"/>
          <w:b w:val="0"/>
          <w:color w:val="auto"/>
          <w:sz w:val="32"/>
          <w:szCs w:val="32"/>
          <w:lang w:eastAsia="zh-CN"/>
        </w:rPr>
        <w:t>退休人员绩效工资增加，</w:t>
      </w:r>
      <w:r>
        <w:rPr>
          <w:rFonts w:ascii="仿宋_GB2312" w:eastAsia="仿宋_GB2312"/>
          <w:b w:val="0"/>
          <w:color w:val="auto"/>
          <w:sz w:val="32"/>
          <w:szCs w:val="32"/>
        </w:rPr>
        <w:t>事业单位离退休</w:t>
      </w:r>
      <w:r>
        <w:rPr>
          <w:rFonts w:hint="eastAsia" w:ascii="仿宋_GB2312" w:eastAsia="仿宋_GB2312"/>
          <w:b w:val="0"/>
          <w:color w:val="auto"/>
          <w:sz w:val="32"/>
          <w:szCs w:val="32"/>
          <w:lang w:eastAsia="zh-CN"/>
        </w:rPr>
        <w:t>支出增加。</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both"/>
        <w:textAlignment w:val="auto"/>
        <w:rPr>
          <w:rFonts w:ascii="仿宋_GB2312" w:eastAsia="仿宋_GB2312"/>
          <w:b w:val="0"/>
          <w:color w:val="auto"/>
          <w:sz w:val="32"/>
          <w:szCs w:val="32"/>
        </w:rPr>
      </w:pPr>
      <w:r>
        <w:rPr>
          <w:rFonts w:ascii="仿宋_GB2312" w:eastAsia="仿宋_GB2312"/>
          <w:b w:val="0"/>
          <w:color w:val="auto"/>
          <w:sz w:val="32"/>
          <w:szCs w:val="32"/>
        </w:rPr>
        <w:t>社会保障和就业支出（类）行政事业单位养老支出（款）机关事业单位基本养老保险缴费支出（项）：支出决算数为39.81万元，比上年决算减少0.89万元，下降2.19%，主要原因是：</w:t>
      </w:r>
      <w:r>
        <w:rPr>
          <w:rFonts w:hint="eastAsia" w:ascii="仿宋_GB2312" w:eastAsia="仿宋_GB2312"/>
          <w:b w:val="0"/>
          <w:color w:val="auto"/>
          <w:sz w:val="32"/>
          <w:szCs w:val="32"/>
          <w:lang w:val="en-US" w:eastAsia="zh-CN"/>
        </w:rPr>
        <w:t>人员变动，本年年初人数比上年年初人数减少3人（退休1人，调出1人，离世1人）</w:t>
      </w:r>
      <w:r>
        <w:rPr>
          <w:rFonts w:hint="eastAsia" w:ascii="仿宋_GB2312" w:eastAsia="仿宋_GB2312"/>
          <w:b w:val="0"/>
          <w:color w:val="auto"/>
          <w:sz w:val="32"/>
          <w:szCs w:val="32"/>
          <w:lang w:eastAsia="zh-CN"/>
        </w:rPr>
        <w:t>，导致机关事业单位基本养老保险缴费支出减少。</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both"/>
        <w:textAlignment w:val="auto"/>
        <w:rPr>
          <w:rFonts w:ascii="仿宋_GB2312" w:eastAsia="仿宋_GB2312"/>
          <w:b w:val="0"/>
          <w:color w:val="auto"/>
          <w:sz w:val="32"/>
          <w:szCs w:val="32"/>
        </w:rPr>
      </w:pPr>
      <w:r>
        <w:rPr>
          <w:rFonts w:ascii="仿宋_GB2312" w:eastAsia="仿宋_GB2312"/>
          <w:b w:val="0"/>
          <w:color w:val="auto"/>
          <w:sz w:val="32"/>
          <w:szCs w:val="32"/>
        </w:rPr>
        <w:t>社会保障和就业支出（类）行政事业单位养老支出（款）机关事业单位职业年金缴费支出（项）：支出决算数为19.91万元，比上年决算减少0.44万元，下降2.16%，主要原因是：</w:t>
      </w:r>
      <w:r>
        <w:rPr>
          <w:rFonts w:hint="eastAsia" w:ascii="仿宋_GB2312" w:eastAsia="仿宋_GB2312"/>
          <w:b w:val="0"/>
          <w:color w:val="auto"/>
          <w:sz w:val="32"/>
          <w:szCs w:val="32"/>
          <w:lang w:val="en-US" w:eastAsia="zh-CN"/>
        </w:rPr>
        <w:t>本年新增退休人员较上年减少</w:t>
      </w:r>
      <w:r>
        <w:rPr>
          <w:rFonts w:hint="eastAsia" w:ascii="仿宋_GB2312" w:eastAsia="仿宋_GB2312"/>
          <w:b w:val="0"/>
          <w:color w:val="auto"/>
          <w:sz w:val="32"/>
          <w:szCs w:val="32"/>
          <w:lang w:eastAsia="zh-CN"/>
        </w:rPr>
        <w:t>，</w:t>
      </w:r>
      <w:r>
        <w:rPr>
          <w:rFonts w:ascii="仿宋_GB2312" w:eastAsia="仿宋_GB2312"/>
          <w:b w:val="0"/>
          <w:color w:val="auto"/>
          <w:sz w:val="32"/>
          <w:szCs w:val="32"/>
        </w:rPr>
        <w:t>职业年金缴费支出</w:t>
      </w:r>
      <w:r>
        <w:rPr>
          <w:rFonts w:hint="eastAsia" w:ascii="仿宋_GB2312" w:eastAsia="仿宋_GB2312"/>
          <w:b w:val="0"/>
          <w:color w:val="auto"/>
          <w:sz w:val="32"/>
          <w:szCs w:val="32"/>
          <w:lang w:eastAsia="zh-CN"/>
        </w:rPr>
        <w:t>减少。</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both"/>
        <w:textAlignment w:val="auto"/>
        <w:rPr>
          <w:rFonts w:ascii="仿宋_GB2312" w:eastAsia="仿宋_GB2312"/>
          <w:b w:val="0"/>
          <w:color w:val="auto"/>
          <w:sz w:val="32"/>
          <w:szCs w:val="32"/>
        </w:rPr>
      </w:pPr>
      <w:r>
        <w:rPr>
          <w:rFonts w:ascii="仿宋_GB2312" w:eastAsia="仿宋_GB2312"/>
          <w:b w:val="0"/>
          <w:color w:val="auto"/>
          <w:sz w:val="32"/>
          <w:szCs w:val="32"/>
        </w:rPr>
        <w:t>卫生健康支出（类）行政事业单位医疗（款）事业单位医疗（项）：支出决算数为18.66万元，比上年决算减少0.42万元，下降2.20%，主要原因是：</w:t>
      </w:r>
      <w:r>
        <w:rPr>
          <w:rFonts w:hint="eastAsia" w:ascii="仿宋_GB2312" w:eastAsia="仿宋_GB2312"/>
          <w:b w:val="0"/>
          <w:color w:val="auto"/>
          <w:sz w:val="32"/>
          <w:szCs w:val="32"/>
          <w:lang w:val="en-US" w:eastAsia="zh-CN"/>
        </w:rPr>
        <w:t>人员变动，本年年初人数比上年年初人数减少3人（退休1人，调出1人，离世1人）</w:t>
      </w:r>
      <w:r>
        <w:rPr>
          <w:rFonts w:hint="eastAsia" w:ascii="仿宋_GB2312" w:eastAsia="仿宋_GB2312"/>
          <w:b w:val="0"/>
          <w:color w:val="auto"/>
          <w:sz w:val="32"/>
          <w:szCs w:val="32"/>
          <w:lang w:eastAsia="zh-CN"/>
        </w:rPr>
        <w:t>，</w:t>
      </w:r>
      <w:r>
        <w:rPr>
          <w:rFonts w:ascii="仿宋_GB2312" w:eastAsia="仿宋_GB2312"/>
          <w:b w:val="0"/>
          <w:color w:val="auto"/>
          <w:sz w:val="32"/>
          <w:szCs w:val="32"/>
        </w:rPr>
        <w:t>事业单位医疗</w:t>
      </w:r>
      <w:r>
        <w:rPr>
          <w:rFonts w:hint="eastAsia" w:ascii="仿宋_GB2312" w:eastAsia="仿宋_GB2312"/>
          <w:b w:val="0"/>
          <w:color w:val="auto"/>
          <w:sz w:val="32"/>
          <w:szCs w:val="32"/>
          <w:lang w:eastAsia="zh-CN"/>
        </w:rPr>
        <w:t>支出减少。</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both"/>
        <w:textAlignment w:val="auto"/>
        <w:rPr>
          <w:rFonts w:ascii="仿宋_GB2312" w:eastAsia="仿宋_GB2312"/>
          <w:b w:val="0"/>
          <w:color w:val="auto"/>
          <w:sz w:val="32"/>
          <w:szCs w:val="32"/>
        </w:rPr>
      </w:pPr>
      <w:r>
        <w:rPr>
          <w:rFonts w:ascii="仿宋_GB2312" w:eastAsia="仿宋_GB2312"/>
          <w:b w:val="0"/>
          <w:color w:val="auto"/>
          <w:sz w:val="32"/>
          <w:szCs w:val="32"/>
        </w:rPr>
        <w:t>卫生健康支出（类）行政事业单位医疗（款）公务员医疗补助（项）：支出决算数为17.42万元，比上年决算减少0.38万元，下降2.13%，主要原因是：</w:t>
      </w:r>
      <w:r>
        <w:rPr>
          <w:rFonts w:hint="eastAsia" w:ascii="仿宋_GB2312" w:eastAsia="仿宋_GB2312"/>
          <w:b w:val="0"/>
          <w:color w:val="auto"/>
          <w:sz w:val="32"/>
          <w:szCs w:val="32"/>
          <w:lang w:val="en-US" w:eastAsia="zh-CN"/>
        </w:rPr>
        <w:t>人员变动，本年年初人数比上年年初人数减少3人（退休1人，调出1人，离世1人）</w:t>
      </w:r>
      <w:r>
        <w:rPr>
          <w:rFonts w:hint="eastAsia" w:ascii="仿宋_GB2312" w:eastAsia="仿宋_GB2312"/>
          <w:b w:val="0"/>
          <w:color w:val="auto"/>
          <w:sz w:val="32"/>
          <w:szCs w:val="32"/>
          <w:lang w:eastAsia="zh-CN"/>
        </w:rPr>
        <w:t>，</w:t>
      </w:r>
      <w:r>
        <w:rPr>
          <w:rFonts w:ascii="仿宋_GB2312" w:eastAsia="仿宋_GB2312"/>
          <w:b w:val="0"/>
          <w:color w:val="auto"/>
          <w:sz w:val="32"/>
          <w:szCs w:val="32"/>
        </w:rPr>
        <w:t>公务员医疗补助</w:t>
      </w:r>
      <w:r>
        <w:rPr>
          <w:rFonts w:hint="eastAsia" w:ascii="仿宋_GB2312" w:eastAsia="仿宋_GB2312"/>
          <w:b w:val="0"/>
          <w:color w:val="auto"/>
          <w:sz w:val="32"/>
          <w:szCs w:val="32"/>
          <w:lang w:eastAsia="zh-CN"/>
        </w:rPr>
        <w:t>支出减少。</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both"/>
        <w:textAlignment w:val="auto"/>
        <w:rPr>
          <w:rFonts w:ascii="仿宋_GB2312" w:eastAsia="仿宋_GB2312"/>
          <w:b w:val="0"/>
          <w:color w:val="auto"/>
          <w:sz w:val="32"/>
          <w:szCs w:val="32"/>
        </w:rPr>
      </w:pPr>
      <w:r>
        <w:rPr>
          <w:rFonts w:ascii="仿宋_GB2312" w:eastAsia="仿宋_GB2312"/>
          <w:b w:val="0"/>
          <w:color w:val="auto"/>
          <w:sz w:val="32"/>
          <w:szCs w:val="32"/>
        </w:rPr>
        <w:t>住房保障支出（类）住房改革支出（款）住房公积金（项）：支出决算数为29.86万元，比上年决算减少0.66万元，下降2.16%，主要原因是：</w:t>
      </w:r>
      <w:r>
        <w:rPr>
          <w:rFonts w:hint="eastAsia" w:ascii="仿宋_GB2312" w:eastAsia="仿宋_GB2312"/>
          <w:b w:val="0"/>
          <w:color w:val="auto"/>
          <w:sz w:val="32"/>
          <w:szCs w:val="32"/>
          <w:lang w:val="en-US" w:eastAsia="zh-CN"/>
        </w:rPr>
        <w:t>人员变动，本年年初人数比上年年初人数减少3人（退休1人，调出1人，离世1人）</w:t>
      </w:r>
      <w:r>
        <w:rPr>
          <w:rFonts w:hint="eastAsia" w:ascii="仿宋_GB2312" w:eastAsia="仿宋_GB2312"/>
          <w:b w:val="0"/>
          <w:color w:val="auto"/>
          <w:sz w:val="32"/>
          <w:szCs w:val="32"/>
          <w:lang w:eastAsia="zh-CN"/>
        </w:rPr>
        <w:t>，</w:t>
      </w:r>
      <w:r>
        <w:rPr>
          <w:rFonts w:ascii="仿宋_GB2312" w:eastAsia="仿宋_GB2312"/>
          <w:b w:val="0"/>
          <w:color w:val="auto"/>
          <w:sz w:val="32"/>
          <w:szCs w:val="32"/>
        </w:rPr>
        <w:t>住房公积金</w:t>
      </w:r>
      <w:r>
        <w:rPr>
          <w:rFonts w:hint="eastAsia" w:ascii="仿宋_GB2312" w:eastAsia="仿宋_GB2312"/>
          <w:b w:val="0"/>
          <w:color w:val="auto"/>
          <w:sz w:val="32"/>
          <w:szCs w:val="32"/>
          <w:lang w:eastAsia="zh-CN"/>
        </w:rPr>
        <w:t>支出减少。</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both"/>
        <w:textAlignment w:val="auto"/>
        <w:rPr>
          <w:rFonts w:ascii="仿宋_GB2312" w:eastAsia="仿宋_GB2312"/>
          <w:b w:val="0"/>
          <w:color w:val="auto"/>
          <w:sz w:val="32"/>
          <w:szCs w:val="32"/>
        </w:rPr>
      </w:pPr>
      <w:r>
        <w:rPr>
          <w:rFonts w:ascii="仿宋_GB2312" w:eastAsia="仿宋_GB2312"/>
          <w:b w:val="0"/>
          <w:color w:val="auto"/>
          <w:sz w:val="32"/>
          <w:szCs w:val="32"/>
        </w:rPr>
        <w:t>粮油物资储备支出（类）粮油物资事务（款）其他粮油物资事务支出（项）：支出决算数为2,113.53万元，比上年决算增加1,566.69万元，增长286.50%，主要原因是：</w:t>
      </w:r>
      <w:r>
        <w:rPr>
          <w:rFonts w:hint="eastAsia" w:ascii="仿宋_GB2312" w:eastAsia="仿宋_GB2312"/>
          <w:b w:val="0"/>
          <w:color w:val="auto"/>
          <w:sz w:val="32"/>
          <w:szCs w:val="32"/>
          <w:lang w:val="en-US" w:eastAsia="zh-CN"/>
        </w:rPr>
        <w:t>年中追加实验室搬迁项目</w:t>
      </w:r>
      <w:r>
        <w:rPr>
          <w:rFonts w:hint="eastAsia" w:ascii="仿宋_GB2312" w:eastAsia="仿宋_GB2312"/>
          <w:b w:val="0"/>
          <w:color w:val="auto"/>
          <w:sz w:val="32"/>
          <w:szCs w:val="32"/>
          <w:lang w:eastAsia="zh-CN"/>
        </w:rPr>
        <w:t>。</w:t>
      </w:r>
      <w:bookmarkStart w:id="0" w:name="_GoBack"/>
      <w:bookmarkEnd w:id="0"/>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left"/>
        <w:textAlignment w:val="auto"/>
        <w:outlineLvl w:val="1"/>
        <w:rPr>
          <w:rFonts w:ascii="黑体" w:eastAsia="黑体"/>
          <w:sz w:val="32"/>
          <w:szCs w:val="32"/>
        </w:rPr>
      </w:pPr>
      <w:r>
        <w:rPr>
          <w:rFonts w:ascii="黑体" w:eastAsia="黑体"/>
          <w:b w:val="0"/>
          <w:sz w:val="32"/>
          <w:szCs w:val="32"/>
        </w:rPr>
        <w:t>六、一般公共预算财政拨款基本支出决算情况说明</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both"/>
        <w:textAlignment w:val="auto"/>
        <w:rPr>
          <w:rFonts w:ascii="仿宋_GB2312" w:eastAsia="仿宋_GB2312"/>
          <w:b w:val="0"/>
          <w:color w:val="auto"/>
          <w:sz w:val="32"/>
          <w:szCs w:val="32"/>
        </w:rPr>
      </w:pPr>
      <w:r>
        <w:rPr>
          <w:rFonts w:ascii="仿宋_GB2312" w:eastAsia="仿宋_GB2312"/>
          <w:b w:val="0"/>
          <w:color w:val="auto"/>
          <w:sz w:val="32"/>
          <w:szCs w:val="32"/>
        </w:rPr>
        <w:t>2024年度一般公共预算财政拨款基本支出501.01万元，其中：人员经费454.17万元，包括：基本工资、津贴补贴、奖金、绩效工资、机关事业单位基本养老保险缴费、职业年金缴费、职工基本医疗保险缴费、公务员医疗补助缴费、其他社会保障缴费、住房公积金、退休费、抚恤金和奖励金。</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both"/>
        <w:textAlignment w:val="auto"/>
        <w:rPr>
          <w:rFonts w:ascii="仿宋_GB2312" w:eastAsia="仿宋_GB2312"/>
          <w:b w:val="0"/>
          <w:color w:val="auto"/>
          <w:sz w:val="32"/>
          <w:szCs w:val="32"/>
        </w:rPr>
      </w:pPr>
      <w:r>
        <w:rPr>
          <w:rFonts w:ascii="仿宋_GB2312" w:eastAsia="仿宋_GB2312"/>
          <w:b w:val="0"/>
          <w:color w:val="auto"/>
          <w:sz w:val="32"/>
          <w:szCs w:val="32"/>
        </w:rPr>
        <w:t>公用经费46.84万元，包括：办公费、水费、电费、邮电费、取暖费、差旅费、工会经费、福利费、公务用车运行维护费和其他商品和服务支出。</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left"/>
        <w:textAlignment w:val="auto"/>
        <w:outlineLvl w:val="1"/>
        <w:rPr>
          <w:rFonts w:ascii="黑体" w:eastAsia="黑体"/>
          <w:sz w:val="32"/>
          <w:szCs w:val="32"/>
        </w:rPr>
      </w:pPr>
      <w:r>
        <w:rPr>
          <w:rFonts w:ascii="黑体" w:eastAsia="黑体"/>
          <w:b w:val="0"/>
          <w:sz w:val="32"/>
          <w:szCs w:val="32"/>
        </w:rPr>
        <w:t>七、政府性基金预算财政拨款收入支出决算情况说明</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both"/>
        <w:textAlignment w:val="auto"/>
        <w:rPr>
          <w:rFonts w:ascii="仿宋_GB2312" w:eastAsia="仿宋_GB2312"/>
          <w:b w:val="0"/>
          <w:color w:val="auto"/>
          <w:sz w:val="32"/>
          <w:szCs w:val="32"/>
        </w:rPr>
      </w:pPr>
      <w:r>
        <w:rPr>
          <w:rFonts w:ascii="仿宋_GB2312" w:eastAsia="仿宋_GB2312"/>
          <w:b w:val="0"/>
          <w:color w:val="auto"/>
          <w:sz w:val="32"/>
          <w:szCs w:val="32"/>
        </w:rPr>
        <w:t>本单位本年度无政府性基金预算财政拨款收入支出及结转和结余政府性基金预算财政拨款收入支出决算表为空表。</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left"/>
        <w:textAlignment w:val="auto"/>
        <w:outlineLvl w:val="1"/>
        <w:rPr>
          <w:rFonts w:ascii="黑体" w:eastAsia="黑体"/>
          <w:sz w:val="32"/>
          <w:szCs w:val="32"/>
        </w:rPr>
      </w:pPr>
      <w:r>
        <w:rPr>
          <w:rFonts w:ascii="黑体" w:eastAsia="黑体"/>
          <w:b w:val="0"/>
          <w:sz w:val="32"/>
          <w:szCs w:val="32"/>
        </w:rPr>
        <w:t>八、国有资本经营预算财政拨款收入支出决算情况说明</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both"/>
        <w:textAlignment w:val="auto"/>
        <w:rPr>
          <w:rFonts w:ascii="仿宋_GB2312" w:eastAsia="仿宋_GB2312"/>
          <w:b w:val="0"/>
          <w:color w:val="auto"/>
          <w:sz w:val="32"/>
          <w:szCs w:val="32"/>
        </w:rPr>
      </w:pPr>
      <w:r>
        <w:rPr>
          <w:rFonts w:ascii="仿宋_GB2312" w:eastAsia="仿宋_GB2312"/>
          <w:b w:val="0"/>
          <w:color w:val="auto"/>
          <w:sz w:val="32"/>
          <w:szCs w:val="32"/>
        </w:rPr>
        <w:t>本单位本年度无国有资本经营预算财政拨款收入、支出及结转和结余，国有资本经营预算财政拨款收入支出决算表为空表。</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left"/>
        <w:textAlignment w:val="auto"/>
        <w:outlineLvl w:val="1"/>
        <w:rPr>
          <w:rFonts w:ascii="黑体" w:eastAsia="黑体"/>
          <w:sz w:val="32"/>
          <w:szCs w:val="32"/>
        </w:rPr>
      </w:pPr>
      <w:r>
        <w:rPr>
          <w:rFonts w:ascii="黑体" w:eastAsia="黑体"/>
          <w:b w:val="0"/>
          <w:sz w:val="32"/>
          <w:szCs w:val="32"/>
        </w:rPr>
        <w:t>九、财政拨款</w:t>
      </w:r>
      <w:r>
        <w:rPr>
          <w:rFonts w:hint="eastAsia" w:ascii="黑体" w:eastAsia="黑体"/>
          <w:b w:val="0"/>
          <w:sz w:val="32"/>
          <w:szCs w:val="32"/>
          <w:lang w:eastAsia="zh-CN"/>
        </w:rPr>
        <w:t>“</w:t>
      </w:r>
      <w:r>
        <w:rPr>
          <w:rFonts w:ascii="黑体" w:eastAsia="黑体"/>
          <w:b w:val="0"/>
          <w:sz w:val="32"/>
          <w:szCs w:val="32"/>
        </w:rPr>
        <w:t>三公</w:t>
      </w:r>
      <w:r>
        <w:rPr>
          <w:rFonts w:hint="eastAsia" w:ascii="黑体" w:eastAsia="黑体"/>
          <w:b w:val="0"/>
          <w:sz w:val="32"/>
          <w:szCs w:val="32"/>
          <w:lang w:eastAsia="zh-CN"/>
        </w:rPr>
        <w:t>”</w:t>
      </w:r>
      <w:r>
        <w:rPr>
          <w:rFonts w:ascii="黑体" w:eastAsia="黑体"/>
          <w:b w:val="0"/>
          <w:sz w:val="32"/>
          <w:szCs w:val="32"/>
        </w:rPr>
        <w:t>经费支出决算情况说明</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both"/>
        <w:textAlignment w:val="auto"/>
        <w:rPr>
          <w:rFonts w:ascii="仿宋_GB2312" w:eastAsia="仿宋_GB2312"/>
          <w:b w:val="0"/>
          <w:color w:val="auto"/>
          <w:sz w:val="32"/>
          <w:szCs w:val="32"/>
        </w:rPr>
      </w:pPr>
      <w:r>
        <w:rPr>
          <w:rFonts w:ascii="仿宋_GB2312" w:eastAsia="仿宋_GB2312"/>
          <w:b w:val="0"/>
          <w:color w:val="auto"/>
          <w:sz w:val="32"/>
          <w:szCs w:val="32"/>
        </w:rPr>
        <w:t>2024年度财政拨款</w:t>
      </w:r>
      <w:r>
        <w:rPr>
          <w:rFonts w:hint="eastAsia" w:ascii="仿宋_GB2312" w:eastAsia="仿宋_GB2312"/>
          <w:b w:val="0"/>
          <w:color w:val="auto"/>
          <w:sz w:val="32"/>
          <w:szCs w:val="32"/>
          <w:lang w:eastAsia="zh-CN"/>
        </w:rPr>
        <w:t>“</w:t>
      </w:r>
      <w:r>
        <w:rPr>
          <w:rFonts w:ascii="仿宋_GB2312" w:eastAsia="仿宋_GB2312"/>
          <w:b w:val="0"/>
          <w:color w:val="auto"/>
          <w:sz w:val="32"/>
          <w:szCs w:val="32"/>
        </w:rPr>
        <w:t>三公</w:t>
      </w:r>
      <w:r>
        <w:rPr>
          <w:rFonts w:hint="eastAsia" w:ascii="仿宋_GB2312" w:eastAsia="仿宋_GB2312"/>
          <w:b w:val="0"/>
          <w:color w:val="auto"/>
          <w:sz w:val="32"/>
          <w:szCs w:val="32"/>
          <w:lang w:eastAsia="zh-CN"/>
        </w:rPr>
        <w:t>”</w:t>
      </w:r>
      <w:r>
        <w:rPr>
          <w:rFonts w:ascii="仿宋_GB2312" w:eastAsia="仿宋_GB2312"/>
          <w:b w:val="0"/>
          <w:color w:val="auto"/>
          <w:sz w:val="32"/>
          <w:szCs w:val="32"/>
        </w:rPr>
        <w:t>经费支出1.39万元，</w:t>
      </w:r>
      <w:r>
        <w:rPr>
          <w:rFonts w:hint="eastAsia" w:ascii="仿宋_GB2312" w:eastAsia="仿宋_GB2312"/>
          <w:b w:val="0"/>
          <w:color w:val="auto"/>
          <w:sz w:val="32"/>
          <w:szCs w:val="32"/>
          <w:lang w:eastAsia="zh-CN"/>
        </w:rPr>
        <w:t>比上年增加</w:t>
      </w:r>
      <w:r>
        <w:rPr>
          <w:rFonts w:hint="eastAsia" w:ascii="仿宋_GB2312" w:eastAsia="仿宋_GB2312"/>
          <w:b w:val="0"/>
          <w:color w:val="auto"/>
          <w:sz w:val="32"/>
          <w:szCs w:val="32"/>
          <w:lang w:val="en-US" w:eastAsia="zh-CN"/>
        </w:rPr>
        <w:t>0.00%，增长0.00%</w:t>
      </w:r>
      <w:r>
        <w:rPr>
          <w:rFonts w:ascii="仿宋_GB2312" w:eastAsia="仿宋_GB2312"/>
          <w:b w:val="0"/>
          <w:color w:val="auto"/>
          <w:sz w:val="32"/>
          <w:szCs w:val="32"/>
        </w:rPr>
        <w:t>，主要原因是：</w:t>
      </w:r>
      <w:r>
        <w:rPr>
          <w:rFonts w:hint="eastAsia" w:ascii="仿宋_GB2312" w:eastAsia="仿宋_GB2312"/>
          <w:b w:val="0"/>
          <w:color w:val="auto"/>
          <w:sz w:val="32"/>
          <w:szCs w:val="32"/>
          <w:lang w:eastAsia="zh-CN"/>
        </w:rPr>
        <w:t>本单位“三公”经费与上年一致无变化</w:t>
      </w:r>
      <w:r>
        <w:rPr>
          <w:rFonts w:ascii="仿宋_GB2312" w:eastAsia="仿宋_GB2312"/>
          <w:b w:val="0"/>
          <w:color w:val="auto"/>
          <w:sz w:val="32"/>
          <w:szCs w:val="32"/>
        </w:rPr>
        <w:t>。其中：因公出国（境）费支出0.00万元,占0.00%，</w:t>
      </w:r>
      <w:r>
        <w:rPr>
          <w:rFonts w:hint="eastAsia" w:ascii="仿宋_GB2312" w:eastAsia="仿宋_GB2312"/>
          <w:b w:val="0"/>
          <w:color w:val="auto"/>
          <w:sz w:val="32"/>
          <w:szCs w:val="32"/>
          <w:lang w:eastAsia="zh-CN"/>
        </w:rPr>
        <w:t>比上年增加</w:t>
      </w:r>
      <w:r>
        <w:rPr>
          <w:rFonts w:hint="eastAsia" w:ascii="仿宋_GB2312" w:eastAsia="仿宋_GB2312"/>
          <w:b w:val="0"/>
          <w:color w:val="auto"/>
          <w:sz w:val="32"/>
          <w:szCs w:val="32"/>
          <w:lang w:val="en-US" w:eastAsia="zh-CN"/>
        </w:rPr>
        <w:t>0.00%，增长0.00%</w:t>
      </w:r>
      <w:r>
        <w:rPr>
          <w:rFonts w:ascii="仿宋_GB2312" w:eastAsia="仿宋_GB2312"/>
          <w:b w:val="0"/>
          <w:color w:val="auto"/>
          <w:sz w:val="32"/>
          <w:szCs w:val="32"/>
        </w:rPr>
        <w:t>，主要原因是：</w:t>
      </w:r>
      <w:r>
        <w:rPr>
          <w:rFonts w:hint="eastAsia" w:ascii="仿宋_GB2312" w:eastAsia="仿宋_GB2312"/>
          <w:b w:val="0"/>
          <w:color w:val="auto"/>
          <w:sz w:val="32"/>
          <w:szCs w:val="32"/>
          <w:lang w:val="en-US" w:eastAsia="zh-CN"/>
        </w:rPr>
        <w:t>2023年、2024年均未安排</w:t>
      </w:r>
      <w:r>
        <w:rPr>
          <w:rFonts w:ascii="仿宋_GB2312" w:eastAsia="仿宋_GB2312"/>
          <w:b w:val="0"/>
          <w:color w:val="auto"/>
          <w:sz w:val="32"/>
          <w:szCs w:val="32"/>
        </w:rPr>
        <w:t>因公出国（境）</w:t>
      </w:r>
      <w:r>
        <w:rPr>
          <w:rFonts w:hint="eastAsia" w:ascii="仿宋_GB2312" w:eastAsia="仿宋_GB2312"/>
          <w:b w:val="0"/>
          <w:color w:val="auto"/>
          <w:sz w:val="32"/>
          <w:szCs w:val="32"/>
          <w:lang w:eastAsia="zh-CN"/>
        </w:rPr>
        <w:t>业务</w:t>
      </w:r>
      <w:r>
        <w:rPr>
          <w:rFonts w:ascii="仿宋_GB2312" w:eastAsia="仿宋_GB2312"/>
          <w:b w:val="0"/>
          <w:color w:val="auto"/>
          <w:sz w:val="32"/>
          <w:szCs w:val="32"/>
        </w:rPr>
        <w:t>；公务用车购置及运行维护费支出1.39万元，占100.00%，</w:t>
      </w:r>
      <w:r>
        <w:rPr>
          <w:rFonts w:hint="eastAsia" w:ascii="仿宋_GB2312" w:eastAsia="仿宋_GB2312"/>
          <w:b w:val="0"/>
          <w:color w:val="auto"/>
          <w:sz w:val="32"/>
          <w:szCs w:val="32"/>
          <w:lang w:eastAsia="zh-CN"/>
        </w:rPr>
        <w:t>比上年增加</w:t>
      </w:r>
      <w:r>
        <w:rPr>
          <w:rFonts w:hint="eastAsia" w:ascii="仿宋_GB2312" w:eastAsia="仿宋_GB2312"/>
          <w:b w:val="0"/>
          <w:color w:val="auto"/>
          <w:sz w:val="32"/>
          <w:szCs w:val="32"/>
          <w:lang w:val="en-US" w:eastAsia="zh-CN"/>
        </w:rPr>
        <w:t>0.00%，增长0.00%</w:t>
      </w:r>
      <w:r>
        <w:rPr>
          <w:rFonts w:ascii="仿宋_GB2312" w:eastAsia="仿宋_GB2312"/>
          <w:b w:val="0"/>
          <w:color w:val="auto"/>
          <w:sz w:val="32"/>
          <w:szCs w:val="32"/>
        </w:rPr>
        <w:t>，主要原因是：</w:t>
      </w:r>
      <w:r>
        <w:rPr>
          <w:rFonts w:hint="eastAsia" w:ascii="仿宋_GB2312" w:eastAsia="仿宋_GB2312"/>
          <w:b w:val="0"/>
          <w:color w:val="auto"/>
          <w:sz w:val="32"/>
          <w:szCs w:val="32"/>
          <w:lang w:eastAsia="zh-CN"/>
        </w:rPr>
        <w:t>本单位公务用车运行维护费与上年一致无变化</w:t>
      </w:r>
      <w:r>
        <w:rPr>
          <w:rFonts w:ascii="仿宋_GB2312" w:eastAsia="仿宋_GB2312"/>
          <w:b w:val="0"/>
          <w:color w:val="auto"/>
          <w:sz w:val="32"/>
          <w:szCs w:val="32"/>
        </w:rPr>
        <w:t>；公务接待费支出0.00万元，占0.00%，</w:t>
      </w:r>
      <w:r>
        <w:rPr>
          <w:rFonts w:hint="eastAsia" w:ascii="仿宋_GB2312" w:eastAsia="仿宋_GB2312"/>
          <w:b w:val="0"/>
          <w:color w:val="auto"/>
          <w:sz w:val="32"/>
          <w:szCs w:val="32"/>
          <w:lang w:eastAsia="zh-CN"/>
        </w:rPr>
        <w:t>比上年增加</w:t>
      </w:r>
      <w:r>
        <w:rPr>
          <w:rFonts w:hint="eastAsia" w:ascii="仿宋_GB2312" w:eastAsia="仿宋_GB2312"/>
          <w:b w:val="0"/>
          <w:color w:val="auto"/>
          <w:sz w:val="32"/>
          <w:szCs w:val="32"/>
          <w:lang w:val="en-US" w:eastAsia="zh-CN"/>
        </w:rPr>
        <w:t>0.00%，增长0.00%</w:t>
      </w:r>
      <w:r>
        <w:rPr>
          <w:rFonts w:ascii="仿宋_GB2312" w:eastAsia="仿宋_GB2312"/>
          <w:b w:val="0"/>
          <w:color w:val="auto"/>
          <w:sz w:val="32"/>
          <w:szCs w:val="32"/>
        </w:rPr>
        <w:t>，主要原因是：</w:t>
      </w:r>
      <w:r>
        <w:rPr>
          <w:rFonts w:hint="eastAsia" w:ascii="仿宋_GB2312" w:eastAsia="仿宋_GB2312"/>
          <w:b w:val="0"/>
          <w:color w:val="auto"/>
          <w:sz w:val="32"/>
          <w:szCs w:val="32"/>
          <w:lang w:val="en-US" w:eastAsia="zh-CN"/>
        </w:rPr>
        <w:t>2023年、2024年均未安排</w:t>
      </w:r>
      <w:r>
        <w:rPr>
          <w:rFonts w:ascii="仿宋_GB2312" w:eastAsia="仿宋_GB2312"/>
          <w:b w:val="0"/>
          <w:color w:val="auto"/>
          <w:sz w:val="32"/>
          <w:szCs w:val="32"/>
        </w:rPr>
        <w:t>公务接待。</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both"/>
        <w:textAlignment w:val="auto"/>
        <w:rPr>
          <w:rFonts w:ascii="仿宋_GB2312" w:eastAsia="仿宋_GB2312"/>
          <w:b w:val="0"/>
          <w:color w:val="auto"/>
          <w:sz w:val="32"/>
          <w:szCs w:val="32"/>
        </w:rPr>
      </w:pPr>
      <w:r>
        <w:rPr>
          <w:rFonts w:ascii="仿宋_GB2312" w:eastAsia="仿宋_GB2312"/>
          <w:b w:val="0"/>
          <w:color w:val="auto"/>
          <w:sz w:val="32"/>
          <w:szCs w:val="32"/>
        </w:rPr>
        <w:t>具体情况如下：</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both"/>
        <w:textAlignment w:val="auto"/>
        <w:rPr>
          <w:rFonts w:ascii="仿宋_GB2312" w:eastAsia="仿宋_GB2312"/>
          <w:b w:val="0"/>
          <w:color w:val="auto"/>
          <w:sz w:val="32"/>
          <w:szCs w:val="32"/>
        </w:rPr>
      </w:pPr>
      <w:r>
        <w:rPr>
          <w:rFonts w:ascii="仿宋_GB2312" w:eastAsia="仿宋_GB2312"/>
          <w:b w:val="0"/>
          <w:color w:val="auto"/>
          <w:sz w:val="32"/>
          <w:szCs w:val="32"/>
        </w:rPr>
        <w:t>因公出国（境）费支出0.00万元，开支内容包括</w:t>
      </w:r>
      <w:r>
        <w:rPr>
          <w:rFonts w:hint="eastAsia" w:ascii="仿宋_GB2312" w:eastAsia="仿宋_GB2312"/>
          <w:b w:val="0"/>
          <w:color w:val="auto"/>
          <w:sz w:val="32"/>
          <w:szCs w:val="32"/>
          <w:lang w:eastAsia="zh-CN"/>
        </w:rPr>
        <w:t>无</w:t>
      </w:r>
      <w:r>
        <w:rPr>
          <w:rFonts w:ascii="仿宋_GB2312" w:eastAsia="仿宋_GB2312"/>
          <w:b w:val="0"/>
          <w:color w:val="auto"/>
          <w:sz w:val="32"/>
          <w:szCs w:val="32"/>
        </w:rPr>
        <w:t>因公出国（境）费</w:t>
      </w:r>
      <w:r>
        <w:rPr>
          <w:rFonts w:hint="eastAsia" w:ascii="仿宋_GB2312" w:eastAsia="仿宋_GB2312"/>
          <w:b w:val="0"/>
          <w:color w:val="auto"/>
          <w:sz w:val="32"/>
          <w:szCs w:val="32"/>
          <w:lang w:eastAsia="zh-CN"/>
        </w:rPr>
        <w:t>业务</w:t>
      </w:r>
      <w:r>
        <w:rPr>
          <w:rFonts w:ascii="仿宋_GB2312" w:eastAsia="仿宋_GB2312"/>
          <w:b w:val="0"/>
          <w:color w:val="auto"/>
          <w:sz w:val="32"/>
          <w:szCs w:val="32"/>
        </w:rPr>
        <w:t>。单位全年安排的因公出国（境）团组0个，因公出国（境）0人次。</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both"/>
        <w:textAlignment w:val="auto"/>
        <w:rPr>
          <w:rFonts w:ascii="仿宋_GB2312" w:eastAsia="仿宋_GB2312"/>
          <w:b w:val="0"/>
          <w:color w:val="auto"/>
          <w:sz w:val="32"/>
          <w:szCs w:val="32"/>
        </w:rPr>
      </w:pPr>
      <w:r>
        <w:rPr>
          <w:rFonts w:ascii="仿宋_GB2312" w:eastAsia="仿宋_GB2312"/>
          <w:b w:val="0"/>
          <w:color w:val="auto"/>
          <w:sz w:val="32"/>
          <w:szCs w:val="32"/>
        </w:rPr>
        <w:t>公务用车购置及运行维护费1.39万元，其中：公务用车购置费0.00万元，公务用车运行维护费1.39万元。公务用车运行维护费开支内容包括</w:t>
      </w:r>
      <w:r>
        <w:rPr>
          <w:rFonts w:hint="eastAsia" w:ascii="仿宋_GB2312" w:eastAsia="仿宋_GB2312"/>
          <w:b w:val="0"/>
          <w:color w:val="auto"/>
          <w:sz w:val="32"/>
          <w:szCs w:val="32"/>
          <w:lang w:eastAsia="zh-CN"/>
        </w:rPr>
        <w:t>车辆</w:t>
      </w:r>
      <w:r>
        <w:rPr>
          <w:rFonts w:ascii="仿宋_GB2312" w:eastAsia="仿宋_GB2312"/>
          <w:b w:val="0"/>
          <w:color w:val="auto"/>
          <w:sz w:val="32"/>
          <w:szCs w:val="32"/>
          <w:lang w:val="en-US" w:eastAsia="zh-CN"/>
        </w:rPr>
        <w:t>燃料费、维修费、保险费</w:t>
      </w:r>
      <w:r>
        <w:rPr>
          <w:rFonts w:ascii="仿宋_GB2312" w:eastAsia="仿宋_GB2312"/>
          <w:b w:val="0"/>
          <w:color w:val="auto"/>
          <w:sz w:val="32"/>
          <w:szCs w:val="32"/>
        </w:rPr>
        <w:t>。公务用车购置数0辆，公务用车保有量2辆。国有资产占用情况中固定资产车辆2辆，与公务用车保有量差异原因是：固定资产车辆与公务用车保有量</w:t>
      </w:r>
      <w:r>
        <w:rPr>
          <w:rFonts w:hint="eastAsia" w:ascii="仿宋_GB2312" w:eastAsia="仿宋_GB2312"/>
          <w:b w:val="0"/>
          <w:color w:val="auto"/>
          <w:sz w:val="32"/>
          <w:szCs w:val="32"/>
          <w:lang w:eastAsia="zh-CN"/>
        </w:rPr>
        <w:t>无</w:t>
      </w:r>
      <w:r>
        <w:rPr>
          <w:rFonts w:ascii="仿宋_GB2312" w:eastAsia="仿宋_GB2312"/>
          <w:b w:val="0"/>
          <w:color w:val="auto"/>
          <w:sz w:val="32"/>
          <w:szCs w:val="32"/>
        </w:rPr>
        <w:t>差异。</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both"/>
        <w:textAlignment w:val="auto"/>
        <w:rPr>
          <w:rFonts w:ascii="仿宋_GB2312" w:eastAsia="仿宋_GB2312"/>
          <w:b w:val="0"/>
          <w:color w:val="auto"/>
          <w:sz w:val="32"/>
          <w:szCs w:val="32"/>
        </w:rPr>
      </w:pPr>
      <w:r>
        <w:rPr>
          <w:rFonts w:ascii="仿宋_GB2312" w:eastAsia="仿宋_GB2312"/>
          <w:b w:val="0"/>
          <w:color w:val="auto"/>
          <w:sz w:val="32"/>
          <w:szCs w:val="32"/>
        </w:rPr>
        <w:t>公务接待费0.00万元，开支内容包括</w:t>
      </w:r>
      <w:r>
        <w:rPr>
          <w:rFonts w:hint="eastAsia" w:ascii="仿宋_GB2312" w:eastAsia="仿宋_GB2312"/>
          <w:b w:val="0"/>
          <w:color w:val="auto"/>
          <w:sz w:val="32"/>
          <w:szCs w:val="32"/>
          <w:lang w:eastAsia="zh-CN"/>
        </w:rPr>
        <w:t>无公务接待</w:t>
      </w:r>
      <w:r>
        <w:rPr>
          <w:rFonts w:ascii="仿宋_GB2312" w:eastAsia="仿宋_GB2312"/>
          <w:b w:val="0"/>
          <w:color w:val="auto"/>
          <w:sz w:val="32"/>
          <w:szCs w:val="32"/>
        </w:rPr>
        <w:t>。单位全年安排的国内公务接待0批次，0人次。</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both"/>
        <w:textAlignment w:val="auto"/>
        <w:rPr>
          <w:rFonts w:ascii="仿宋_GB2312" w:eastAsia="仿宋_GB2312"/>
          <w:b w:val="0"/>
          <w:color w:val="auto"/>
          <w:sz w:val="32"/>
          <w:szCs w:val="32"/>
        </w:rPr>
      </w:pPr>
      <w:r>
        <w:rPr>
          <w:rFonts w:ascii="仿宋_GB2312" w:eastAsia="仿宋_GB2312"/>
          <w:b w:val="0"/>
          <w:color w:val="auto"/>
          <w:sz w:val="32"/>
          <w:szCs w:val="32"/>
        </w:rPr>
        <w:t>与全年预算相比，财政拨款</w:t>
      </w:r>
      <w:r>
        <w:rPr>
          <w:rFonts w:hint="eastAsia" w:ascii="仿宋_GB2312" w:eastAsia="仿宋_GB2312"/>
          <w:b w:val="0"/>
          <w:color w:val="auto"/>
          <w:sz w:val="32"/>
          <w:szCs w:val="32"/>
          <w:lang w:eastAsia="zh-CN"/>
        </w:rPr>
        <w:t>“</w:t>
      </w:r>
      <w:r>
        <w:rPr>
          <w:rFonts w:ascii="仿宋_GB2312" w:eastAsia="仿宋_GB2312"/>
          <w:b w:val="0"/>
          <w:color w:val="auto"/>
          <w:sz w:val="32"/>
          <w:szCs w:val="32"/>
        </w:rPr>
        <w:t>三公</w:t>
      </w:r>
      <w:r>
        <w:rPr>
          <w:rFonts w:hint="eastAsia" w:ascii="仿宋_GB2312" w:eastAsia="仿宋_GB2312"/>
          <w:b w:val="0"/>
          <w:color w:val="auto"/>
          <w:sz w:val="32"/>
          <w:szCs w:val="32"/>
          <w:lang w:eastAsia="zh-CN"/>
        </w:rPr>
        <w:t>”</w:t>
      </w:r>
      <w:r>
        <w:rPr>
          <w:rFonts w:ascii="仿宋_GB2312" w:eastAsia="仿宋_GB2312"/>
          <w:b w:val="0"/>
          <w:color w:val="auto"/>
          <w:sz w:val="32"/>
          <w:szCs w:val="32"/>
        </w:rPr>
        <w:t>经费支出全年预算数1.39万元，决算数1.39万元，预决算差异率0.00%，主要原因是：</w:t>
      </w:r>
      <w:r>
        <w:rPr>
          <w:rFonts w:hint="eastAsia" w:ascii="仿宋_GB2312" w:eastAsia="仿宋_GB2312"/>
          <w:b w:val="0"/>
          <w:color w:val="auto"/>
          <w:sz w:val="32"/>
          <w:szCs w:val="32"/>
          <w:lang w:eastAsia="zh-CN"/>
        </w:rPr>
        <w:t>严格按照预算执行，预决算无差异</w:t>
      </w:r>
      <w:r>
        <w:rPr>
          <w:rFonts w:ascii="仿宋_GB2312" w:eastAsia="仿宋_GB2312"/>
          <w:b w:val="0"/>
          <w:color w:val="auto"/>
          <w:sz w:val="32"/>
          <w:szCs w:val="32"/>
        </w:rPr>
        <w:t>。其中：因公出国（境）费全年预算数0.00万元，决算数0.00万元，预决算差异率0.00%，主要原因是：</w:t>
      </w:r>
      <w:r>
        <w:rPr>
          <w:rFonts w:hint="eastAsia" w:ascii="仿宋_GB2312" w:eastAsia="仿宋_GB2312"/>
          <w:b w:val="0"/>
          <w:color w:val="auto"/>
          <w:sz w:val="32"/>
          <w:szCs w:val="32"/>
        </w:rPr>
        <w:t>本单位无因公出国（境）费</w:t>
      </w:r>
      <w:r>
        <w:rPr>
          <w:rFonts w:ascii="仿宋_GB2312" w:eastAsia="仿宋_GB2312"/>
          <w:b w:val="0"/>
          <w:color w:val="auto"/>
          <w:sz w:val="32"/>
          <w:szCs w:val="32"/>
        </w:rPr>
        <w:t>。公务用车购置费全年预算数0.00万元，决算数0.00万元，预决算差异率0.00%，主要原因是：</w:t>
      </w:r>
      <w:r>
        <w:rPr>
          <w:rFonts w:hint="eastAsia" w:ascii="仿宋_GB2312" w:eastAsia="仿宋_GB2312"/>
          <w:b w:val="0"/>
          <w:color w:val="auto"/>
          <w:sz w:val="32"/>
          <w:szCs w:val="32"/>
        </w:rPr>
        <w:t>本单位无公务用车购置费</w:t>
      </w:r>
      <w:r>
        <w:rPr>
          <w:rFonts w:ascii="仿宋_GB2312" w:eastAsia="仿宋_GB2312"/>
          <w:b w:val="0"/>
          <w:color w:val="auto"/>
          <w:sz w:val="32"/>
          <w:szCs w:val="32"/>
        </w:rPr>
        <w:t>。公务用车运行维护费全年预算数1.39万元，决算数1.39万元，预决算差异率0.00%，主要原因是：</w:t>
      </w:r>
      <w:r>
        <w:rPr>
          <w:rFonts w:hint="eastAsia" w:ascii="仿宋_GB2312" w:eastAsia="仿宋_GB2312"/>
          <w:b w:val="0"/>
          <w:color w:val="auto"/>
          <w:sz w:val="32"/>
          <w:szCs w:val="32"/>
          <w:lang w:eastAsia="zh-CN"/>
        </w:rPr>
        <w:t>严格按照预算执行，预决算无差异</w:t>
      </w:r>
      <w:r>
        <w:rPr>
          <w:rFonts w:ascii="仿宋_GB2312" w:eastAsia="仿宋_GB2312"/>
          <w:b w:val="0"/>
          <w:color w:val="auto"/>
          <w:sz w:val="32"/>
          <w:szCs w:val="32"/>
        </w:rPr>
        <w:t>。公务接待费全年预算数0.00万元，决算数0.00万元，预决算差异率0.00%，主要原因是：</w:t>
      </w:r>
      <w:r>
        <w:rPr>
          <w:rFonts w:hint="eastAsia" w:ascii="仿宋_GB2312" w:eastAsia="仿宋_GB2312"/>
          <w:b w:val="0"/>
          <w:color w:val="auto"/>
          <w:sz w:val="32"/>
          <w:szCs w:val="32"/>
          <w:lang w:eastAsia="zh-CN"/>
        </w:rPr>
        <w:t>本单位无公务接待费</w:t>
      </w:r>
      <w:r>
        <w:rPr>
          <w:rFonts w:ascii="仿宋_GB2312" w:eastAsia="仿宋_GB2312"/>
          <w:b w:val="0"/>
          <w:color w:val="auto"/>
          <w:sz w:val="32"/>
          <w:szCs w:val="32"/>
        </w:rPr>
        <w:t>。</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left"/>
        <w:textAlignment w:val="auto"/>
        <w:outlineLvl w:val="1"/>
        <w:rPr>
          <w:rFonts w:ascii="黑体" w:eastAsia="黑体"/>
          <w:sz w:val="32"/>
          <w:szCs w:val="32"/>
        </w:rPr>
      </w:pPr>
      <w:r>
        <w:rPr>
          <w:rFonts w:ascii="黑体" w:eastAsia="黑体"/>
          <w:b w:val="0"/>
          <w:sz w:val="32"/>
          <w:szCs w:val="32"/>
        </w:rPr>
        <w:t>十、其他重要事项的情况说明</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3" w:firstLineChars="200"/>
        <w:jc w:val="left"/>
        <w:textAlignment w:val="auto"/>
        <w:outlineLvl w:val="2"/>
        <w:rPr>
          <w:rFonts w:ascii="仿宋_GB2312" w:eastAsia="仿宋_GB2312"/>
          <w:sz w:val="32"/>
          <w:szCs w:val="32"/>
        </w:rPr>
      </w:pPr>
      <w:r>
        <w:rPr>
          <w:rFonts w:ascii="仿宋_GB2312" w:eastAsia="仿宋_GB2312"/>
          <w:b/>
          <w:sz w:val="32"/>
          <w:szCs w:val="32"/>
        </w:rPr>
        <w:t>（一）机关运行经费及公用经费支出情况</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both"/>
        <w:textAlignment w:val="auto"/>
        <w:rPr>
          <w:rFonts w:ascii="仿宋_GB2312" w:eastAsia="仿宋_GB2312"/>
          <w:sz w:val="32"/>
          <w:szCs w:val="32"/>
        </w:rPr>
      </w:pPr>
      <w:r>
        <w:rPr>
          <w:rFonts w:ascii="仿宋_GB2312" w:eastAsia="仿宋_GB2312"/>
          <w:b w:val="0"/>
          <w:color w:val="auto"/>
          <w:sz w:val="32"/>
          <w:szCs w:val="32"/>
        </w:rPr>
        <w:t>2024年度新疆维吾尔自治区粮油产品质量监督检验站公用经费支出46.84万元，比上年减少0.08万元，下降0.17%，主要原因是：</w:t>
      </w:r>
      <w:r>
        <w:rPr>
          <w:rFonts w:hint="eastAsia" w:ascii="仿宋_GB2312" w:eastAsia="仿宋_GB2312"/>
          <w:b w:val="0"/>
          <w:color w:val="auto"/>
          <w:sz w:val="32"/>
          <w:szCs w:val="32"/>
          <w:lang w:eastAsia="zh-CN"/>
        </w:rPr>
        <w:t>厉行节约，减少办公费支出</w:t>
      </w:r>
      <w:r>
        <w:rPr>
          <w:rFonts w:ascii="仿宋_GB2312" w:eastAsia="仿宋_GB2312"/>
          <w:b w:val="0"/>
          <w:color w:val="auto"/>
          <w:sz w:val="32"/>
          <w:szCs w:val="32"/>
        </w:rPr>
        <w:t>。</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3" w:firstLineChars="200"/>
        <w:jc w:val="left"/>
        <w:textAlignment w:val="auto"/>
        <w:outlineLvl w:val="2"/>
        <w:rPr>
          <w:rFonts w:ascii="仿宋_GB2312" w:eastAsia="仿宋_GB2312"/>
          <w:sz w:val="32"/>
          <w:szCs w:val="32"/>
        </w:rPr>
      </w:pPr>
      <w:r>
        <w:rPr>
          <w:rFonts w:ascii="仿宋_GB2312" w:eastAsia="仿宋_GB2312"/>
          <w:b/>
          <w:sz w:val="32"/>
          <w:szCs w:val="32"/>
        </w:rPr>
        <w:t>（二）政府采购情况</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both"/>
        <w:textAlignment w:val="auto"/>
        <w:rPr>
          <w:rFonts w:ascii="仿宋_GB2312" w:eastAsia="仿宋_GB2312"/>
          <w:b w:val="0"/>
          <w:color w:val="auto"/>
          <w:sz w:val="32"/>
          <w:szCs w:val="32"/>
        </w:rPr>
      </w:pPr>
      <w:r>
        <w:rPr>
          <w:rFonts w:ascii="仿宋_GB2312" w:eastAsia="仿宋_GB2312"/>
          <w:b w:val="0"/>
          <w:color w:val="auto"/>
          <w:sz w:val="32"/>
          <w:szCs w:val="32"/>
        </w:rPr>
        <w:t>2024年度政府采购支出总额99.91万元，其中：政府采购货物支出62.09万元、政府采购工程支出0.00万元、政府采购服务支出37.82万元。</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both"/>
        <w:textAlignment w:val="auto"/>
        <w:rPr>
          <w:rFonts w:ascii="仿宋_GB2312" w:eastAsia="仿宋_GB2312"/>
          <w:sz w:val="32"/>
          <w:szCs w:val="32"/>
        </w:rPr>
      </w:pPr>
      <w:r>
        <w:rPr>
          <w:rFonts w:ascii="仿宋_GB2312" w:eastAsia="仿宋_GB2312"/>
          <w:b w:val="0"/>
          <w:color w:val="auto"/>
          <w:sz w:val="32"/>
          <w:szCs w:val="32"/>
        </w:rPr>
        <w:t>授予中小企业合同金额99.91万元，占政府采购支出总额的100.00%，其中：授予小微企业合同金额48.52万元，占政府采购支出总额的48.56%。</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3" w:firstLineChars="200"/>
        <w:jc w:val="left"/>
        <w:textAlignment w:val="auto"/>
        <w:outlineLvl w:val="2"/>
        <w:rPr>
          <w:rFonts w:ascii="仿宋_GB2312" w:eastAsia="仿宋_GB2312"/>
          <w:sz w:val="32"/>
          <w:szCs w:val="32"/>
        </w:rPr>
      </w:pPr>
      <w:r>
        <w:rPr>
          <w:rFonts w:ascii="仿宋_GB2312" w:eastAsia="仿宋_GB2312"/>
          <w:b/>
          <w:sz w:val="32"/>
          <w:szCs w:val="32"/>
        </w:rPr>
        <w:t>（三）国有资产占用情况说明</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both"/>
        <w:textAlignment w:val="auto"/>
        <w:rPr>
          <w:rFonts w:ascii="仿宋_GB2312" w:eastAsia="仿宋_GB2312"/>
          <w:b w:val="0"/>
          <w:color w:val="auto"/>
          <w:sz w:val="32"/>
          <w:szCs w:val="32"/>
        </w:rPr>
      </w:pPr>
      <w:r>
        <w:rPr>
          <w:rFonts w:ascii="仿宋_GB2312" w:eastAsia="仿宋_GB2312"/>
          <w:b w:val="0"/>
          <w:color w:val="auto"/>
          <w:sz w:val="32"/>
          <w:szCs w:val="32"/>
        </w:rPr>
        <w:t>截至2024年12月31日，房屋6,060.93平方米，价值4,764.97万元。车辆2辆，价值62.57万元，其中：副部（省）级及以上领导用车0辆、主要负责人用车0辆、机要通信用车0辆、应急保障用车0辆、执法执勤用车0辆、特种专业技术用车0辆、离退休干部服务用车0辆、其他用车2辆，其他用车主要是：</w:t>
      </w:r>
      <w:r>
        <w:rPr>
          <w:rFonts w:hint="eastAsia" w:ascii="仿宋_GB2312" w:eastAsia="仿宋_GB2312"/>
          <w:b w:val="0"/>
          <w:color w:val="auto"/>
          <w:sz w:val="32"/>
          <w:szCs w:val="32"/>
          <w:lang w:eastAsia="zh-CN"/>
        </w:rPr>
        <w:t>一般业务用车</w:t>
      </w:r>
      <w:r>
        <w:rPr>
          <w:rFonts w:ascii="仿宋_GB2312" w:eastAsia="仿宋_GB2312"/>
          <w:b w:val="0"/>
          <w:color w:val="auto"/>
          <w:sz w:val="32"/>
          <w:szCs w:val="32"/>
        </w:rPr>
        <w:t>;单价100万元（含）以上设备（不含车辆）6台（套）。</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left"/>
        <w:textAlignment w:val="auto"/>
        <w:outlineLvl w:val="1"/>
        <w:rPr>
          <w:rFonts w:ascii="黑体" w:eastAsia="黑体"/>
          <w:sz w:val="32"/>
          <w:szCs w:val="32"/>
        </w:rPr>
      </w:pPr>
      <w:r>
        <w:rPr>
          <w:rFonts w:ascii="黑体" w:eastAsia="黑体"/>
          <w:b w:val="0"/>
          <w:sz w:val="32"/>
          <w:szCs w:val="32"/>
        </w:rPr>
        <w:t>十一、预算绩效的情况说明</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both"/>
        <w:textAlignment w:val="auto"/>
        <w:rPr>
          <w:rFonts w:hint="eastAsia" w:ascii="仿宋_GB2312" w:eastAsia="仿宋_GB2312"/>
          <w:b w:val="0"/>
          <w:color w:val="auto"/>
          <w:sz w:val="32"/>
          <w:szCs w:val="32"/>
          <w:lang w:val="en-US" w:eastAsia="zh-CN"/>
        </w:rPr>
      </w:pPr>
      <w:r>
        <w:rPr>
          <w:rFonts w:ascii="仿宋_GB2312" w:eastAsia="仿宋_GB2312"/>
          <w:b w:val="0"/>
          <w:color w:val="auto"/>
          <w:sz w:val="32"/>
          <w:szCs w:val="32"/>
        </w:rPr>
        <w:t>根据预算绩效管理要求</w:t>
      </w:r>
      <w:r>
        <w:rPr>
          <w:rFonts w:hint="eastAsia" w:ascii="仿宋_GB2312" w:eastAsia="仿宋_GB2312"/>
          <w:b w:val="0"/>
          <w:color w:val="auto"/>
          <w:sz w:val="32"/>
          <w:szCs w:val="32"/>
          <w:lang w:eastAsia="zh-CN"/>
        </w:rPr>
        <w:t>，</w:t>
      </w:r>
      <w:r>
        <w:rPr>
          <w:rFonts w:hint="eastAsia" w:ascii="仿宋_GB2312" w:eastAsia="仿宋_GB2312"/>
          <w:b w:val="0"/>
          <w:color w:val="auto"/>
          <w:sz w:val="32"/>
          <w:szCs w:val="32"/>
          <w:lang w:val="en-US" w:eastAsia="zh-CN"/>
        </w:rPr>
        <w:t>本</w:t>
      </w:r>
      <w:r>
        <w:rPr>
          <w:rFonts w:hint="eastAsia" w:ascii="仿宋_GB2312" w:eastAsia="仿宋_GB2312"/>
          <w:b w:val="0"/>
          <w:color w:val="auto"/>
          <w:sz w:val="32"/>
          <w:szCs w:val="32"/>
          <w:lang w:eastAsia="zh-CN"/>
        </w:rPr>
        <w:t>单位2024年度预算绩效评价项目</w:t>
      </w:r>
      <w:r>
        <w:rPr>
          <w:rFonts w:hint="eastAsia" w:ascii="仿宋_GB2312" w:eastAsia="仿宋_GB2312"/>
          <w:b w:val="0"/>
          <w:color w:val="auto"/>
          <w:sz w:val="32"/>
          <w:szCs w:val="32"/>
          <w:lang w:val="en-US" w:eastAsia="zh-CN"/>
        </w:rPr>
        <w:t>3</w:t>
      </w:r>
      <w:r>
        <w:rPr>
          <w:rFonts w:hint="eastAsia" w:ascii="仿宋_GB2312" w:eastAsia="仿宋_GB2312"/>
          <w:b w:val="0"/>
          <w:color w:val="auto"/>
          <w:sz w:val="32"/>
          <w:szCs w:val="32"/>
          <w:lang w:eastAsia="zh-CN"/>
        </w:rPr>
        <w:t>个，</w:t>
      </w:r>
      <w:r>
        <w:rPr>
          <w:rFonts w:hint="eastAsia" w:ascii="仿宋_GB2312" w:eastAsia="仿宋_GB2312"/>
          <w:b w:val="0"/>
          <w:color w:val="auto"/>
          <w:sz w:val="32"/>
          <w:szCs w:val="32"/>
          <w:lang w:val="en-US" w:eastAsia="zh-CN"/>
        </w:rPr>
        <w:t>全年预算数</w:t>
      </w:r>
      <w:r>
        <w:rPr>
          <w:rFonts w:hint="eastAsia" w:ascii="仿宋_GB2312" w:eastAsia="仿宋_GB2312"/>
          <w:b w:val="0"/>
          <w:color w:val="auto"/>
          <w:sz w:val="32"/>
          <w:szCs w:val="32"/>
          <w:lang w:eastAsia="zh-CN"/>
        </w:rPr>
        <w:t>2</w:t>
      </w:r>
      <w:r>
        <w:rPr>
          <w:rFonts w:hint="eastAsia" w:ascii="仿宋_GB2312" w:eastAsia="仿宋_GB2312"/>
          <w:b w:val="0"/>
          <w:color w:val="auto"/>
          <w:sz w:val="32"/>
          <w:szCs w:val="32"/>
        </w:rPr>
        <w:t>,</w:t>
      </w:r>
      <w:r>
        <w:rPr>
          <w:rFonts w:hint="eastAsia" w:ascii="仿宋_GB2312" w:eastAsia="仿宋_GB2312"/>
          <w:b w:val="0"/>
          <w:color w:val="auto"/>
          <w:sz w:val="32"/>
          <w:szCs w:val="32"/>
          <w:lang w:eastAsia="zh-CN"/>
        </w:rPr>
        <w:t>029.7</w:t>
      </w:r>
      <w:r>
        <w:rPr>
          <w:rFonts w:hint="eastAsia" w:ascii="仿宋_GB2312" w:eastAsia="仿宋_GB2312"/>
          <w:b w:val="0"/>
          <w:color w:val="auto"/>
          <w:sz w:val="32"/>
          <w:szCs w:val="32"/>
          <w:lang w:val="en-US" w:eastAsia="zh-CN"/>
        </w:rPr>
        <w:t>0</w:t>
      </w:r>
      <w:r>
        <w:rPr>
          <w:rFonts w:hint="eastAsia" w:ascii="仿宋_GB2312" w:eastAsia="仿宋_GB2312"/>
          <w:b w:val="0"/>
          <w:color w:val="auto"/>
          <w:sz w:val="32"/>
          <w:szCs w:val="32"/>
        </w:rPr>
        <w:t>万元</w:t>
      </w:r>
      <w:r>
        <w:rPr>
          <w:rFonts w:hint="eastAsia" w:ascii="仿宋_GB2312" w:eastAsia="仿宋_GB2312"/>
          <w:b w:val="0"/>
          <w:color w:val="auto"/>
          <w:sz w:val="32"/>
          <w:szCs w:val="32"/>
          <w:lang w:eastAsia="zh-CN"/>
        </w:rPr>
        <w:t>，</w:t>
      </w:r>
      <w:r>
        <w:rPr>
          <w:rFonts w:hint="eastAsia" w:ascii="仿宋_GB2312" w:eastAsia="仿宋_GB2312"/>
          <w:b w:val="0"/>
          <w:color w:val="auto"/>
          <w:sz w:val="32"/>
          <w:szCs w:val="32"/>
          <w:lang w:val="en-US" w:eastAsia="zh-CN"/>
        </w:rPr>
        <w:t>全年执行数</w:t>
      </w:r>
      <w:r>
        <w:rPr>
          <w:rFonts w:hint="eastAsia" w:ascii="仿宋_GB2312" w:eastAsia="仿宋_GB2312"/>
          <w:b w:val="0"/>
          <w:color w:val="auto"/>
          <w:sz w:val="32"/>
          <w:szCs w:val="32"/>
          <w:lang w:eastAsia="zh-CN"/>
        </w:rPr>
        <w:t>2</w:t>
      </w:r>
      <w:r>
        <w:rPr>
          <w:rFonts w:hint="eastAsia" w:ascii="仿宋_GB2312" w:eastAsia="仿宋_GB2312"/>
          <w:b w:val="0"/>
          <w:color w:val="auto"/>
          <w:sz w:val="32"/>
          <w:szCs w:val="32"/>
        </w:rPr>
        <w:t>,</w:t>
      </w:r>
      <w:r>
        <w:rPr>
          <w:rFonts w:hint="eastAsia" w:ascii="仿宋_GB2312" w:eastAsia="仿宋_GB2312"/>
          <w:b w:val="0"/>
          <w:color w:val="auto"/>
          <w:sz w:val="32"/>
          <w:szCs w:val="32"/>
          <w:lang w:eastAsia="zh-CN"/>
        </w:rPr>
        <w:t>029.7</w:t>
      </w:r>
      <w:r>
        <w:rPr>
          <w:rFonts w:hint="eastAsia" w:ascii="仿宋_GB2312" w:eastAsia="仿宋_GB2312"/>
          <w:b w:val="0"/>
          <w:color w:val="auto"/>
          <w:sz w:val="32"/>
          <w:szCs w:val="32"/>
          <w:lang w:val="en-US" w:eastAsia="zh-CN"/>
        </w:rPr>
        <w:t>0</w:t>
      </w:r>
      <w:r>
        <w:rPr>
          <w:rFonts w:hint="eastAsia" w:ascii="仿宋_GB2312" w:eastAsia="仿宋_GB2312"/>
          <w:b w:val="0"/>
          <w:color w:val="auto"/>
          <w:sz w:val="32"/>
          <w:szCs w:val="32"/>
        </w:rPr>
        <w:t>万元。预算绩效管理取得的成效：</w:t>
      </w:r>
      <w:r>
        <w:rPr>
          <w:rFonts w:hint="eastAsia" w:ascii="仿宋_GB2312" w:eastAsia="仿宋_GB2312"/>
          <w:b w:val="0"/>
          <w:color w:val="auto"/>
          <w:sz w:val="32"/>
          <w:szCs w:val="32"/>
          <w:lang w:val="en-US" w:eastAsia="zh-CN"/>
        </w:rPr>
        <w:t>严格按照工作职责和相关文件依据，确保专款专用，确保资金的高效使用，切实发挥资金的使用效果。发现的问题及原因：绩效管理意识有待增强，绩效指标的明确性、可衡量性、相关性还需进一步提升。下一步改进措施：加强培训学习，科学合理设定绩效目标。具体附项目支出绩效自评表</w:t>
      </w:r>
      <w:r>
        <w:rPr>
          <w:rFonts w:ascii="仿宋_GB2312" w:eastAsia="仿宋_GB2312"/>
          <w:b w:val="0"/>
          <w:color w:val="auto"/>
          <w:sz w:val="32"/>
          <w:szCs w:val="32"/>
        </w:rPr>
        <w:t>。</w:t>
      </w:r>
    </w:p>
    <w:p>
      <w:pPr>
        <w:keepNext w:val="0"/>
        <w:keepLines w:val="0"/>
        <w:pageBreakBefore w:val="0"/>
        <w:widowControl/>
        <w:kinsoku/>
        <w:wordWrap/>
        <w:overflowPunct/>
        <w:topLinePunct w:val="0"/>
        <w:autoSpaceDE/>
        <w:autoSpaceDN/>
        <w:bidi w:val="0"/>
        <w:adjustRightInd/>
        <w:snapToGrid/>
        <w:spacing w:line="560" w:lineRule="exact"/>
        <w:textAlignment w:val="auto"/>
        <w:rPr>
          <w:rFonts w:ascii="黑体" w:eastAsia="黑体"/>
          <w:b w:val="0"/>
          <w:sz w:val="32"/>
          <w:szCs w:val="32"/>
        </w:rPr>
      </w:pPr>
      <w:r>
        <w:rPr>
          <w:rFonts w:ascii="黑体" w:eastAsia="黑体"/>
          <w:b w:val="0"/>
          <w:sz w:val="32"/>
          <w:szCs w:val="32"/>
        </w:rPr>
        <w:br w:type="page"/>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left"/>
        <w:textAlignment w:val="auto"/>
        <w:outlineLvl w:val="1"/>
        <w:rPr>
          <w:rFonts w:ascii="黑体" w:eastAsia="黑体"/>
          <w:sz w:val="32"/>
          <w:szCs w:val="32"/>
        </w:rPr>
      </w:pPr>
      <w:r>
        <w:rPr>
          <w:rFonts w:ascii="黑体" w:eastAsia="黑体"/>
          <w:b w:val="0"/>
          <w:sz w:val="32"/>
          <w:szCs w:val="32"/>
        </w:rPr>
        <w:t>十二、其他需说明的事项</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both"/>
        <w:textAlignment w:val="auto"/>
        <w:rPr>
          <w:rFonts w:ascii="仿宋_GB2312" w:eastAsia="仿宋_GB2312"/>
          <w:b w:val="0"/>
          <w:color w:val="auto"/>
          <w:sz w:val="32"/>
          <w:szCs w:val="32"/>
        </w:rPr>
      </w:pPr>
      <w:r>
        <w:rPr>
          <w:rFonts w:ascii="仿宋_GB2312" w:eastAsia="仿宋_GB2312"/>
          <w:b w:val="0"/>
          <w:color w:val="auto"/>
          <w:sz w:val="32"/>
          <w:szCs w:val="32"/>
        </w:rPr>
        <w:t>本单位无其他需说明事项。</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both"/>
        <w:textAlignment w:val="auto"/>
        <w:rPr>
          <w:rFonts w:ascii="仿宋_GB2312" w:eastAsia="仿宋_GB2312"/>
          <w:b w:val="0"/>
          <w:color w:val="auto"/>
          <w:sz w:val="32"/>
          <w:szCs w:val="32"/>
        </w:rPr>
      </w:pPr>
    </w:p>
    <w:p>
      <w:pPr>
        <w:keepNext w:val="0"/>
        <w:keepLines w:val="0"/>
        <w:pageBreakBefore w:val="0"/>
        <w:widowControl/>
        <w:kinsoku/>
        <w:wordWrap/>
        <w:overflowPunct/>
        <w:topLinePunct w:val="0"/>
        <w:autoSpaceDE/>
        <w:autoSpaceDN/>
        <w:bidi w:val="0"/>
        <w:adjustRightInd/>
        <w:snapToGrid/>
        <w:spacing w:line="560" w:lineRule="exact"/>
        <w:textAlignment w:val="auto"/>
      </w:pPr>
      <w:r>
        <w:rPr>
          <w:b w:val="0"/>
          <w:sz w:val="0"/>
          <w:szCs w:val="0"/>
        </w:rPr>
        <w:br w:type="page"/>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jc w:val="center"/>
        <w:textAlignment w:val="auto"/>
        <w:outlineLvl w:val="0"/>
        <w:rPr>
          <w:rFonts w:ascii="黑体" w:eastAsia="黑体"/>
          <w:sz w:val="32"/>
          <w:szCs w:val="32"/>
        </w:rPr>
      </w:pPr>
      <w:r>
        <w:rPr>
          <w:rFonts w:ascii="黑体" w:eastAsia="黑体"/>
          <w:b w:val="0"/>
          <w:sz w:val="32"/>
          <w:szCs w:val="32"/>
        </w:rPr>
        <w:t>第三部分专业名词解释</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3" w:firstLineChars="200"/>
        <w:jc w:val="left"/>
        <w:textAlignment w:val="auto"/>
        <w:rPr>
          <w:rFonts w:ascii="仿宋_GB2312" w:eastAsia="仿宋_GB2312"/>
          <w:sz w:val="32"/>
          <w:szCs w:val="32"/>
        </w:rPr>
      </w:pPr>
      <w:r>
        <w:rPr>
          <w:rFonts w:ascii="仿宋_GB2312" w:eastAsia="仿宋_GB2312"/>
          <w:b/>
          <w:sz w:val="32"/>
          <w:szCs w:val="32"/>
        </w:rPr>
        <w:t>一、财政拨款收入：</w:t>
      </w:r>
      <w:r>
        <w:rPr>
          <w:rFonts w:ascii="仿宋_GB2312" w:eastAsia="仿宋_GB2312"/>
          <w:b w:val="0"/>
          <w:sz w:val="32"/>
          <w:szCs w:val="32"/>
        </w:rPr>
        <w:t>指同级财政当年拨付的资金。</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3" w:firstLineChars="200"/>
        <w:jc w:val="left"/>
        <w:textAlignment w:val="auto"/>
        <w:rPr>
          <w:rFonts w:ascii="仿宋_GB2312" w:eastAsia="仿宋_GB2312"/>
          <w:sz w:val="32"/>
          <w:szCs w:val="32"/>
        </w:rPr>
      </w:pPr>
      <w:r>
        <w:rPr>
          <w:rFonts w:ascii="仿宋_GB2312" w:eastAsia="仿宋_GB2312"/>
          <w:b/>
          <w:sz w:val="32"/>
          <w:szCs w:val="32"/>
        </w:rPr>
        <w:t>二、上级补助收入：</w:t>
      </w:r>
      <w:r>
        <w:rPr>
          <w:rFonts w:ascii="仿宋_GB2312" w:eastAsia="仿宋_GB2312"/>
          <w:b w:val="0"/>
          <w:sz w:val="32"/>
          <w:szCs w:val="32"/>
        </w:rPr>
        <w:t>指事业单位从主管部门和上级单位取得的非财政补助收入。</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3" w:firstLineChars="200"/>
        <w:jc w:val="left"/>
        <w:textAlignment w:val="auto"/>
        <w:rPr>
          <w:rFonts w:ascii="仿宋_GB2312" w:eastAsia="仿宋_GB2312"/>
          <w:sz w:val="32"/>
          <w:szCs w:val="32"/>
        </w:rPr>
      </w:pPr>
      <w:r>
        <w:rPr>
          <w:rFonts w:ascii="仿宋_GB2312" w:eastAsia="仿宋_GB2312"/>
          <w:b/>
          <w:sz w:val="32"/>
          <w:szCs w:val="32"/>
        </w:rPr>
        <w:t>三、事业收入：</w:t>
      </w:r>
      <w:r>
        <w:rPr>
          <w:rFonts w:ascii="仿宋_GB2312" w:eastAsia="仿宋_GB2312"/>
          <w:b w:val="0"/>
          <w:sz w:val="32"/>
          <w:szCs w:val="32"/>
        </w:rPr>
        <w:t>指事业单位开展专业业务活动及其辅助活动所取得的收入。</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3" w:firstLineChars="200"/>
        <w:jc w:val="left"/>
        <w:textAlignment w:val="auto"/>
        <w:rPr>
          <w:rFonts w:ascii="仿宋_GB2312" w:eastAsia="仿宋_GB2312"/>
          <w:sz w:val="32"/>
          <w:szCs w:val="32"/>
        </w:rPr>
      </w:pPr>
      <w:r>
        <w:rPr>
          <w:rFonts w:ascii="仿宋_GB2312" w:eastAsia="仿宋_GB2312"/>
          <w:b/>
          <w:sz w:val="32"/>
          <w:szCs w:val="32"/>
        </w:rPr>
        <w:t>四、经营收入：</w:t>
      </w:r>
      <w:r>
        <w:rPr>
          <w:rFonts w:ascii="仿宋_GB2312" w:eastAsia="仿宋_GB2312"/>
          <w:b w:val="0"/>
          <w:sz w:val="32"/>
          <w:szCs w:val="32"/>
        </w:rPr>
        <w:t>指事业单位在专业业务活动及其辅助活动之外开展非独立核算经营活动取得的收入。</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3" w:firstLineChars="200"/>
        <w:jc w:val="left"/>
        <w:textAlignment w:val="auto"/>
        <w:rPr>
          <w:rFonts w:ascii="仿宋_GB2312" w:eastAsia="仿宋_GB2312"/>
          <w:sz w:val="32"/>
          <w:szCs w:val="32"/>
        </w:rPr>
      </w:pPr>
      <w:r>
        <w:rPr>
          <w:rFonts w:ascii="仿宋_GB2312" w:eastAsia="仿宋_GB2312"/>
          <w:b/>
          <w:sz w:val="32"/>
          <w:szCs w:val="32"/>
        </w:rPr>
        <w:t>五、附属单位上缴收入：</w:t>
      </w:r>
      <w:r>
        <w:rPr>
          <w:rFonts w:ascii="仿宋_GB2312" w:eastAsia="仿宋_GB2312"/>
          <w:b w:val="0"/>
          <w:sz w:val="32"/>
          <w:szCs w:val="32"/>
        </w:rPr>
        <w:t>指事业单位附属的独立核算单位按有关规定上缴的收入。</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3" w:firstLineChars="200"/>
        <w:jc w:val="left"/>
        <w:textAlignment w:val="auto"/>
        <w:rPr>
          <w:rFonts w:ascii="仿宋_GB2312" w:eastAsia="仿宋_GB2312"/>
          <w:sz w:val="32"/>
          <w:szCs w:val="32"/>
        </w:rPr>
      </w:pPr>
      <w:r>
        <w:rPr>
          <w:rFonts w:ascii="仿宋_GB2312" w:eastAsia="仿宋_GB2312"/>
          <w:b/>
          <w:sz w:val="32"/>
          <w:szCs w:val="32"/>
        </w:rPr>
        <w:t>六、其他收入：</w:t>
      </w:r>
      <w:r>
        <w:rPr>
          <w:rFonts w:ascii="仿宋_GB2312" w:eastAsia="仿宋_GB2312"/>
          <w:b w:val="0"/>
          <w:sz w:val="32"/>
          <w:szCs w:val="32"/>
        </w:rPr>
        <w:t>指除上述</w:t>
      </w:r>
      <w:r>
        <w:rPr>
          <w:rFonts w:hint="eastAsia" w:ascii="仿宋_GB2312" w:eastAsia="仿宋_GB2312"/>
          <w:b w:val="0"/>
          <w:sz w:val="32"/>
          <w:szCs w:val="32"/>
          <w:lang w:eastAsia="zh-CN"/>
        </w:rPr>
        <w:t>“</w:t>
      </w:r>
      <w:r>
        <w:rPr>
          <w:rFonts w:ascii="仿宋_GB2312" w:eastAsia="仿宋_GB2312"/>
          <w:b w:val="0"/>
          <w:sz w:val="32"/>
          <w:szCs w:val="32"/>
        </w:rPr>
        <w:t>财政拨款收入</w:t>
      </w:r>
      <w:r>
        <w:rPr>
          <w:rFonts w:hint="eastAsia" w:ascii="仿宋_GB2312" w:eastAsia="仿宋_GB2312"/>
          <w:b w:val="0"/>
          <w:sz w:val="32"/>
          <w:szCs w:val="32"/>
          <w:lang w:eastAsia="zh-CN"/>
        </w:rPr>
        <w:t>”</w:t>
      </w:r>
      <w:r>
        <w:rPr>
          <w:rFonts w:ascii="仿宋_GB2312" w:eastAsia="仿宋_GB2312"/>
          <w:b w:val="0"/>
          <w:sz w:val="32"/>
          <w:szCs w:val="32"/>
        </w:rPr>
        <w:t>、</w:t>
      </w:r>
      <w:r>
        <w:rPr>
          <w:rFonts w:hint="eastAsia" w:ascii="仿宋_GB2312" w:eastAsia="仿宋_GB2312"/>
          <w:b w:val="0"/>
          <w:sz w:val="32"/>
          <w:szCs w:val="32"/>
          <w:lang w:eastAsia="zh-CN"/>
        </w:rPr>
        <w:t>“</w:t>
      </w:r>
      <w:r>
        <w:rPr>
          <w:rFonts w:ascii="仿宋_GB2312" w:eastAsia="仿宋_GB2312"/>
          <w:b w:val="0"/>
          <w:sz w:val="32"/>
          <w:szCs w:val="32"/>
        </w:rPr>
        <w:t>事业收入</w:t>
      </w:r>
      <w:r>
        <w:rPr>
          <w:rFonts w:hint="eastAsia" w:ascii="仿宋_GB2312" w:eastAsia="仿宋_GB2312"/>
          <w:b w:val="0"/>
          <w:sz w:val="32"/>
          <w:szCs w:val="32"/>
          <w:lang w:eastAsia="zh-CN"/>
        </w:rPr>
        <w:t>”</w:t>
      </w:r>
      <w:r>
        <w:rPr>
          <w:rFonts w:ascii="仿宋_GB2312" w:eastAsia="仿宋_GB2312"/>
          <w:b w:val="0"/>
          <w:sz w:val="32"/>
          <w:szCs w:val="32"/>
        </w:rPr>
        <w:t>、</w:t>
      </w:r>
      <w:r>
        <w:rPr>
          <w:rFonts w:hint="eastAsia" w:ascii="仿宋_GB2312" w:eastAsia="仿宋_GB2312"/>
          <w:b w:val="0"/>
          <w:sz w:val="32"/>
          <w:szCs w:val="32"/>
          <w:lang w:eastAsia="zh-CN"/>
        </w:rPr>
        <w:t>“</w:t>
      </w:r>
      <w:r>
        <w:rPr>
          <w:rFonts w:ascii="仿宋_GB2312" w:eastAsia="仿宋_GB2312"/>
          <w:b w:val="0"/>
          <w:sz w:val="32"/>
          <w:szCs w:val="32"/>
        </w:rPr>
        <w:t>经营收入</w:t>
      </w:r>
      <w:r>
        <w:rPr>
          <w:rFonts w:hint="eastAsia" w:ascii="仿宋_GB2312" w:eastAsia="仿宋_GB2312"/>
          <w:b w:val="0"/>
          <w:sz w:val="32"/>
          <w:szCs w:val="32"/>
          <w:lang w:eastAsia="zh-CN"/>
        </w:rPr>
        <w:t>”</w:t>
      </w:r>
      <w:r>
        <w:rPr>
          <w:rFonts w:ascii="仿宋_GB2312" w:eastAsia="仿宋_GB2312"/>
          <w:b w:val="0"/>
          <w:sz w:val="32"/>
          <w:szCs w:val="32"/>
        </w:rPr>
        <w:t>、</w:t>
      </w:r>
      <w:r>
        <w:rPr>
          <w:rFonts w:hint="eastAsia" w:ascii="仿宋_GB2312" w:eastAsia="仿宋_GB2312"/>
          <w:b w:val="0"/>
          <w:sz w:val="32"/>
          <w:szCs w:val="32"/>
          <w:lang w:eastAsia="zh-CN"/>
        </w:rPr>
        <w:t>“</w:t>
      </w:r>
      <w:r>
        <w:rPr>
          <w:rFonts w:ascii="仿宋_GB2312" w:eastAsia="仿宋_GB2312"/>
          <w:b w:val="0"/>
          <w:sz w:val="32"/>
          <w:szCs w:val="32"/>
        </w:rPr>
        <w:t>附属单位上缴收入</w:t>
      </w:r>
      <w:r>
        <w:rPr>
          <w:rFonts w:hint="eastAsia" w:ascii="仿宋_GB2312" w:eastAsia="仿宋_GB2312"/>
          <w:b w:val="0"/>
          <w:sz w:val="32"/>
          <w:szCs w:val="32"/>
          <w:lang w:eastAsia="zh-CN"/>
        </w:rPr>
        <w:t>”</w:t>
      </w:r>
      <w:r>
        <w:rPr>
          <w:rFonts w:ascii="仿宋_GB2312" w:eastAsia="仿宋_GB2312"/>
          <w:b w:val="0"/>
          <w:sz w:val="32"/>
          <w:szCs w:val="32"/>
        </w:rPr>
        <w:t>等之外取得的收入。</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3" w:firstLineChars="200"/>
        <w:jc w:val="left"/>
        <w:textAlignment w:val="auto"/>
        <w:rPr>
          <w:rFonts w:ascii="仿宋_GB2312" w:eastAsia="仿宋_GB2312"/>
          <w:sz w:val="32"/>
          <w:szCs w:val="32"/>
        </w:rPr>
      </w:pPr>
      <w:r>
        <w:rPr>
          <w:rFonts w:ascii="仿宋_GB2312" w:eastAsia="仿宋_GB2312"/>
          <w:b/>
          <w:sz w:val="32"/>
          <w:szCs w:val="32"/>
        </w:rPr>
        <w:t>七、年初结转和结余：</w:t>
      </w:r>
      <w:r>
        <w:rPr>
          <w:rFonts w:ascii="仿宋_GB2312" w:eastAsia="仿宋_GB2312"/>
          <w:b w:val="0"/>
          <w:sz w:val="32"/>
          <w:szCs w:val="32"/>
        </w:rPr>
        <w:t>指以前年度支出预算因客观条件变化未执行完毕、结转到本年度按有关规定继续使用的资金，既包括财政拨款结转和结余，也包括事业收入、经营收入、其他收入的结转和结余。</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3" w:firstLineChars="200"/>
        <w:jc w:val="left"/>
        <w:textAlignment w:val="auto"/>
        <w:rPr>
          <w:rFonts w:ascii="仿宋_GB2312" w:eastAsia="仿宋_GB2312"/>
          <w:sz w:val="32"/>
          <w:szCs w:val="32"/>
        </w:rPr>
      </w:pPr>
      <w:r>
        <w:rPr>
          <w:rFonts w:ascii="仿宋_GB2312" w:eastAsia="仿宋_GB2312"/>
          <w:b/>
          <w:sz w:val="32"/>
          <w:szCs w:val="32"/>
        </w:rPr>
        <w:t>八、年末结转和结余：</w:t>
      </w:r>
      <w:r>
        <w:rPr>
          <w:rFonts w:ascii="仿宋_GB2312" w:eastAsia="仿宋_GB2312"/>
          <w:b w:val="0"/>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3" w:firstLineChars="200"/>
        <w:jc w:val="left"/>
        <w:textAlignment w:val="auto"/>
        <w:rPr>
          <w:rFonts w:ascii="仿宋_GB2312" w:eastAsia="仿宋_GB2312"/>
          <w:sz w:val="32"/>
          <w:szCs w:val="32"/>
        </w:rPr>
      </w:pPr>
      <w:r>
        <w:rPr>
          <w:rFonts w:ascii="仿宋_GB2312" w:eastAsia="仿宋_GB2312"/>
          <w:b/>
          <w:sz w:val="32"/>
          <w:szCs w:val="32"/>
        </w:rPr>
        <w:t>九、基本支出：</w:t>
      </w:r>
      <w:r>
        <w:rPr>
          <w:rFonts w:ascii="仿宋_GB2312" w:eastAsia="仿宋_GB2312"/>
          <w:b w:val="0"/>
          <w:sz w:val="32"/>
          <w:szCs w:val="32"/>
        </w:rPr>
        <w:t>指为保障机构正常运转、完成日常工作任务而发生的人员支出和公用支出。</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3" w:firstLineChars="200"/>
        <w:jc w:val="left"/>
        <w:textAlignment w:val="auto"/>
        <w:rPr>
          <w:rFonts w:ascii="仿宋_GB2312" w:eastAsia="仿宋_GB2312"/>
          <w:sz w:val="32"/>
          <w:szCs w:val="32"/>
        </w:rPr>
      </w:pPr>
      <w:r>
        <w:rPr>
          <w:rFonts w:ascii="仿宋_GB2312" w:eastAsia="仿宋_GB2312"/>
          <w:b/>
          <w:sz w:val="32"/>
          <w:szCs w:val="32"/>
        </w:rPr>
        <w:t>十、项目支出：</w:t>
      </w:r>
      <w:r>
        <w:rPr>
          <w:rFonts w:ascii="仿宋_GB2312" w:eastAsia="仿宋_GB2312"/>
          <w:b w:val="0"/>
          <w:sz w:val="32"/>
          <w:szCs w:val="32"/>
        </w:rPr>
        <w:t>指在基本支出之外为完成特定行政任务和事业发展目标所发生的支出。</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3" w:firstLineChars="200"/>
        <w:jc w:val="left"/>
        <w:textAlignment w:val="auto"/>
        <w:rPr>
          <w:rFonts w:ascii="仿宋_GB2312" w:eastAsia="仿宋_GB2312"/>
          <w:sz w:val="32"/>
          <w:szCs w:val="32"/>
        </w:rPr>
      </w:pPr>
      <w:r>
        <w:rPr>
          <w:rFonts w:ascii="仿宋_GB2312" w:eastAsia="仿宋_GB2312"/>
          <w:b/>
          <w:sz w:val="32"/>
          <w:szCs w:val="32"/>
        </w:rPr>
        <w:t>十一、经营支出：</w:t>
      </w:r>
      <w:r>
        <w:rPr>
          <w:rFonts w:ascii="仿宋_GB2312" w:eastAsia="仿宋_GB2312"/>
          <w:b w:val="0"/>
          <w:sz w:val="32"/>
          <w:szCs w:val="32"/>
        </w:rPr>
        <w:t>指事业单位在专业业务活动及其辅助活动之外开展非独立核算经营活动发生的支出。</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3" w:firstLineChars="200"/>
        <w:jc w:val="left"/>
        <w:textAlignment w:val="auto"/>
        <w:rPr>
          <w:rFonts w:ascii="仿宋_GB2312" w:eastAsia="仿宋_GB2312"/>
          <w:sz w:val="32"/>
          <w:szCs w:val="32"/>
        </w:rPr>
      </w:pPr>
      <w:r>
        <w:rPr>
          <w:rFonts w:ascii="仿宋_GB2312" w:eastAsia="仿宋_GB2312"/>
          <w:b/>
          <w:sz w:val="32"/>
          <w:szCs w:val="32"/>
        </w:rPr>
        <w:t>十二、对附属单位补助支出：</w:t>
      </w:r>
      <w:r>
        <w:rPr>
          <w:rFonts w:ascii="仿宋_GB2312" w:eastAsia="仿宋_GB2312"/>
          <w:b w:val="0"/>
          <w:sz w:val="32"/>
          <w:szCs w:val="32"/>
        </w:rPr>
        <w:t>指事业单位发生的用非财政预算资金对附属单位的补助支出。</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3" w:firstLineChars="200"/>
        <w:jc w:val="left"/>
        <w:textAlignment w:val="auto"/>
        <w:rPr>
          <w:rFonts w:ascii="仿宋_GB2312" w:eastAsia="仿宋_GB2312"/>
          <w:sz w:val="32"/>
          <w:szCs w:val="32"/>
        </w:rPr>
      </w:pPr>
      <w:r>
        <w:rPr>
          <w:rFonts w:ascii="仿宋_GB2312" w:eastAsia="仿宋_GB2312"/>
          <w:b/>
          <w:sz w:val="32"/>
          <w:szCs w:val="32"/>
        </w:rPr>
        <w:t>十三、</w:t>
      </w:r>
      <w:r>
        <w:rPr>
          <w:rFonts w:hint="eastAsia" w:ascii="仿宋_GB2312" w:eastAsia="仿宋_GB2312"/>
          <w:b/>
          <w:sz w:val="32"/>
          <w:szCs w:val="32"/>
          <w:lang w:eastAsia="zh-CN"/>
        </w:rPr>
        <w:t>“</w:t>
      </w:r>
      <w:r>
        <w:rPr>
          <w:rFonts w:ascii="仿宋_GB2312" w:eastAsia="仿宋_GB2312"/>
          <w:b/>
          <w:sz w:val="32"/>
          <w:szCs w:val="32"/>
        </w:rPr>
        <w:t>三公</w:t>
      </w:r>
      <w:r>
        <w:rPr>
          <w:rFonts w:hint="eastAsia" w:ascii="仿宋_GB2312" w:eastAsia="仿宋_GB2312"/>
          <w:b/>
          <w:sz w:val="32"/>
          <w:szCs w:val="32"/>
          <w:lang w:eastAsia="zh-CN"/>
        </w:rPr>
        <w:t>”</w:t>
      </w:r>
      <w:r>
        <w:rPr>
          <w:rFonts w:ascii="仿宋_GB2312" w:eastAsia="仿宋_GB2312"/>
          <w:b/>
          <w:sz w:val="32"/>
          <w:szCs w:val="32"/>
        </w:rPr>
        <w:t>经费：</w:t>
      </w:r>
      <w:r>
        <w:rPr>
          <w:rFonts w:ascii="仿宋_GB2312" w:eastAsia="仿宋_GB2312"/>
          <w:b w:val="0"/>
          <w:sz w:val="32"/>
          <w:szCs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3" w:firstLineChars="200"/>
        <w:jc w:val="left"/>
        <w:textAlignment w:val="auto"/>
        <w:rPr>
          <w:rFonts w:ascii="仿宋_GB2312" w:eastAsia="仿宋_GB2312"/>
          <w:sz w:val="32"/>
          <w:szCs w:val="32"/>
        </w:rPr>
      </w:pPr>
      <w:r>
        <w:rPr>
          <w:rFonts w:ascii="仿宋_GB2312" w:eastAsia="仿宋_GB2312"/>
          <w:b/>
          <w:sz w:val="32"/>
          <w:szCs w:val="32"/>
        </w:rPr>
        <w:t>十四、机关运行经费：</w:t>
      </w:r>
      <w:r>
        <w:rPr>
          <w:rFonts w:ascii="仿宋_GB2312" w:eastAsia="仿宋_GB2312"/>
          <w:b w:val="0"/>
          <w:sz w:val="32"/>
          <w:szCs w:val="32"/>
        </w:rPr>
        <w:t>行政单位和参照公务员法管理的事业单位财政拨款基本支出中的公用经费支出。</w:t>
      </w:r>
    </w:p>
    <w:p>
      <w:pPr>
        <w:keepNext w:val="0"/>
        <w:keepLines w:val="0"/>
        <w:pageBreakBefore w:val="0"/>
        <w:widowControl/>
        <w:kinsoku/>
        <w:wordWrap/>
        <w:overflowPunct/>
        <w:topLinePunct w:val="0"/>
        <w:autoSpaceDE/>
        <w:autoSpaceDN/>
        <w:bidi w:val="0"/>
        <w:adjustRightInd/>
        <w:snapToGrid/>
        <w:spacing w:line="560" w:lineRule="exact"/>
        <w:textAlignment w:val="auto"/>
      </w:pPr>
      <w:r>
        <w:rPr>
          <w:b w:val="0"/>
          <w:sz w:val="0"/>
          <w:szCs w:val="0"/>
        </w:rPr>
        <w:br w:type="page"/>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jc w:val="center"/>
        <w:textAlignment w:val="auto"/>
        <w:outlineLvl w:val="0"/>
        <w:rPr>
          <w:rFonts w:ascii="黑体" w:eastAsia="黑体"/>
          <w:sz w:val="32"/>
          <w:szCs w:val="32"/>
        </w:rPr>
      </w:pPr>
      <w:r>
        <w:rPr>
          <w:rFonts w:ascii="黑体" w:eastAsia="黑体"/>
          <w:b w:val="0"/>
          <w:sz w:val="32"/>
          <w:szCs w:val="32"/>
        </w:rPr>
        <w:t>第四部分部门决算报表（见附表）</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left"/>
        <w:textAlignment w:val="auto"/>
        <w:outlineLvl w:val="1"/>
        <w:rPr>
          <w:rFonts w:ascii="仿宋_GB2312" w:eastAsia="仿宋_GB2312"/>
          <w:sz w:val="32"/>
          <w:szCs w:val="32"/>
        </w:rPr>
      </w:pPr>
      <w:r>
        <w:rPr>
          <w:rFonts w:ascii="仿宋_GB2312" w:eastAsia="仿宋_GB2312"/>
          <w:b w:val="0"/>
          <w:sz w:val="32"/>
          <w:szCs w:val="32"/>
        </w:rPr>
        <w:t>一、《收入支出决算总表》</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left"/>
        <w:textAlignment w:val="auto"/>
        <w:outlineLvl w:val="1"/>
        <w:rPr>
          <w:rFonts w:ascii="仿宋_GB2312" w:eastAsia="仿宋_GB2312"/>
          <w:sz w:val="32"/>
          <w:szCs w:val="32"/>
        </w:rPr>
      </w:pPr>
      <w:r>
        <w:rPr>
          <w:rFonts w:ascii="仿宋_GB2312" w:eastAsia="仿宋_GB2312"/>
          <w:b w:val="0"/>
          <w:sz w:val="32"/>
          <w:szCs w:val="32"/>
        </w:rPr>
        <w:t>二、《收入决算表》</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left"/>
        <w:textAlignment w:val="auto"/>
        <w:outlineLvl w:val="1"/>
        <w:rPr>
          <w:rFonts w:ascii="仿宋_GB2312" w:eastAsia="仿宋_GB2312"/>
          <w:sz w:val="32"/>
          <w:szCs w:val="32"/>
        </w:rPr>
      </w:pPr>
      <w:r>
        <w:rPr>
          <w:rFonts w:ascii="仿宋_GB2312" w:eastAsia="仿宋_GB2312"/>
          <w:b w:val="0"/>
          <w:sz w:val="32"/>
          <w:szCs w:val="32"/>
        </w:rPr>
        <w:t>三、《支出决算表》</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left"/>
        <w:textAlignment w:val="auto"/>
        <w:outlineLvl w:val="1"/>
        <w:rPr>
          <w:rFonts w:ascii="仿宋_GB2312" w:eastAsia="仿宋_GB2312"/>
          <w:sz w:val="32"/>
          <w:szCs w:val="32"/>
        </w:rPr>
      </w:pPr>
      <w:r>
        <w:rPr>
          <w:rFonts w:ascii="仿宋_GB2312" w:eastAsia="仿宋_GB2312"/>
          <w:b w:val="0"/>
          <w:sz w:val="32"/>
          <w:szCs w:val="32"/>
        </w:rPr>
        <w:t>四、《财政拨款收入支出决算总表》</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left"/>
        <w:textAlignment w:val="auto"/>
        <w:outlineLvl w:val="1"/>
        <w:rPr>
          <w:rFonts w:ascii="仿宋_GB2312" w:eastAsia="仿宋_GB2312"/>
          <w:sz w:val="32"/>
          <w:szCs w:val="32"/>
        </w:rPr>
      </w:pPr>
      <w:r>
        <w:rPr>
          <w:rFonts w:ascii="仿宋_GB2312" w:eastAsia="仿宋_GB2312"/>
          <w:b w:val="0"/>
          <w:sz w:val="32"/>
          <w:szCs w:val="32"/>
        </w:rPr>
        <w:t>五、《一般公共预算财政拨款支出决算表》</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left"/>
        <w:textAlignment w:val="auto"/>
        <w:outlineLvl w:val="1"/>
        <w:rPr>
          <w:rFonts w:ascii="仿宋_GB2312" w:eastAsia="仿宋_GB2312"/>
          <w:sz w:val="32"/>
          <w:szCs w:val="32"/>
        </w:rPr>
      </w:pPr>
      <w:r>
        <w:rPr>
          <w:rFonts w:ascii="仿宋_GB2312" w:eastAsia="仿宋_GB2312"/>
          <w:b w:val="0"/>
          <w:sz w:val="32"/>
          <w:szCs w:val="32"/>
        </w:rPr>
        <w:t>六、《一般公共预算财政拨款基本支出决算表》</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left"/>
        <w:textAlignment w:val="auto"/>
        <w:outlineLvl w:val="1"/>
        <w:rPr>
          <w:rFonts w:ascii="仿宋_GB2312" w:eastAsia="仿宋_GB2312"/>
          <w:sz w:val="32"/>
          <w:szCs w:val="32"/>
        </w:rPr>
      </w:pPr>
      <w:r>
        <w:rPr>
          <w:rFonts w:ascii="仿宋_GB2312" w:eastAsia="仿宋_GB2312"/>
          <w:b w:val="0"/>
          <w:sz w:val="32"/>
          <w:szCs w:val="32"/>
        </w:rPr>
        <w:t>七、《政府性基金预算财政拨款收入支出决算表》</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left"/>
        <w:textAlignment w:val="auto"/>
        <w:outlineLvl w:val="1"/>
        <w:rPr>
          <w:rFonts w:ascii="仿宋_GB2312" w:eastAsia="仿宋_GB2312"/>
          <w:sz w:val="32"/>
          <w:szCs w:val="32"/>
        </w:rPr>
      </w:pPr>
      <w:r>
        <w:rPr>
          <w:rFonts w:ascii="仿宋_GB2312" w:eastAsia="仿宋_GB2312"/>
          <w:b w:val="0"/>
          <w:sz w:val="32"/>
          <w:szCs w:val="32"/>
        </w:rPr>
        <w:t>八、《国有资本经营预算财政拨款收入支出决算表》</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left"/>
        <w:textAlignment w:val="auto"/>
        <w:outlineLvl w:val="1"/>
        <w:rPr>
          <w:rFonts w:ascii="仿宋_GB2312" w:eastAsia="仿宋_GB2312"/>
          <w:sz w:val="32"/>
          <w:szCs w:val="32"/>
        </w:rPr>
      </w:pPr>
      <w:r>
        <w:rPr>
          <w:rFonts w:ascii="仿宋_GB2312" w:eastAsia="仿宋_GB2312"/>
          <w:b w:val="0"/>
          <w:sz w:val="32"/>
          <w:szCs w:val="32"/>
        </w:rPr>
        <w:t>九、《财政拨款</w:t>
      </w:r>
      <w:r>
        <w:rPr>
          <w:rFonts w:hint="eastAsia" w:ascii="仿宋_GB2312" w:eastAsia="仿宋_GB2312"/>
          <w:b w:val="0"/>
          <w:sz w:val="32"/>
          <w:szCs w:val="32"/>
          <w:lang w:eastAsia="zh-CN"/>
        </w:rPr>
        <w:t>“</w:t>
      </w:r>
      <w:r>
        <w:rPr>
          <w:rFonts w:ascii="仿宋_GB2312" w:eastAsia="仿宋_GB2312"/>
          <w:b w:val="0"/>
          <w:sz w:val="32"/>
          <w:szCs w:val="32"/>
        </w:rPr>
        <w:t>三公</w:t>
      </w:r>
      <w:r>
        <w:rPr>
          <w:rFonts w:hint="eastAsia" w:ascii="仿宋_GB2312" w:eastAsia="仿宋_GB2312"/>
          <w:b w:val="0"/>
          <w:sz w:val="32"/>
          <w:szCs w:val="32"/>
          <w:lang w:eastAsia="zh-CN"/>
        </w:rPr>
        <w:t>”</w:t>
      </w:r>
      <w:r>
        <w:rPr>
          <w:rFonts w:ascii="仿宋_GB2312" w:eastAsia="仿宋_GB2312"/>
          <w:b w:val="0"/>
          <w:sz w:val="32"/>
          <w:szCs w:val="32"/>
        </w:rPr>
        <w:t>经费支出决算表》</w:t>
      </w:r>
    </w:p>
    <w:sectPr>
      <w:pgSz w:w="12240" w:h="15840"/>
      <w:pgMar w:top="1440" w:right="1800" w:bottom="1440" w:left="180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swiss"/>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auto"/>
    <w:pitch w:val="default"/>
    <w:sig w:usb0="E00006FF" w:usb1="420024FF" w:usb2="02000000" w:usb3="00000000" w:csb0="2000019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0"/>
  <w:bordersDoNotSurroundFooter w:val="0"/>
  <w:documentProtection w:enforcement="0"/>
  <w:displayHorizontalDrawingGridEvery w:val="1"/>
  <w:displayVerticalDrawingGridEvery w:val="1"/>
  <w:noPunctuationKerning w:val="1"/>
  <w:compat>
    <w:doNotExpandShiftReturn/>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7E571A3"/>
    <w:rsid w:val="11FD4E1F"/>
    <w:rsid w:val="195C038C"/>
    <w:rsid w:val="1D876739"/>
    <w:rsid w:val="305E59B3"/>
    <w:rsid w:val="31EC346C"/>
    <w:rsid w:val="33F44948"/>
    <w:rsid w:val="36D36EE4"/>
    <w:rsid w:val="38697391"/>
    <w:rsid w:val="3AAA2628"/>
    <w:rsid w:val="4E5125EE"/>
    <w:rsid w:val="53465674"/>
    <w:rsid w:val="57796E4C"/>
    <w:rsid w:val="5B1C62F3"/>
    <w:rsid w:val="5E9B7E7E"/>
    <w:rsid w:val="5E9C5DC6"/>
    <w:rsid w:val="6C9A0670"/>
    <w:rsid w:val="72886033"/>
    <w:rsid w:val="777C1998"/>
    <w:rsid w:val="7AEF51EC"/>
    <w:rsid w:val="7AFD3D2B"/>
    <w:rsid w:val="7DC92D6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uiPriority="99" w:name="heading 5"/>
    <w:lsdException w:uiPriority="99" w:name="heading 6"/>
    <w:lsdException w:uiPriority="99" w:name="heading 7"/>
    <w:lsdException w:uiPriority="9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99" w:name="toc 1"/>
    <w:lsdException w:uiPriority="99" w:name="toc 2"/>
    <w:lsdException w:uiPriority="99" w:name="toc 3"/>
    <w:lsdException w:uiPriority="99" w:name="toc 4"/>
    <w:lsdException w:uiPriority="99" w:name="toc 5"/>
    <w:lsdException w:uiPriority="99" w:name="toc 6"/>
    <w:lsdException w:uiPriority="99" w:name="toc 7"/>
    <w:lsdException w:uiPriority="99" w:name="toc 8"/>
    <w:lsdException w:uiPriority="99" w:name="toc 9"/>
    <w:lsdException w:qFormat="1" w:uiPriority="99" w:semiHidden="0" w:name="Normal Indent"/>
    <w:lsdException w:uiPriority="99" w:name="footnote text"/>
    <w:lsdException w:uiPriority="99" w:name="annotation text"/>
    <w:lsdException w:qFormat="1" w:uiPriority="99" w:semiHidden="0"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uiPriority="99"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Theme="minorHAnsi" w:hAnsiTheme="minorHAnsi" w:eastAsiaTheme="minorHAnsi" w:cstheme="minorBidi"/>
      <w:sz w:val="22"/>
      <w:szCs w:val="22"/>
      <w:lang w:val="en-US" w:eastAsia="en-US" w:bidi="ar-SA"/>
    </w:rPr>
  </w:style>
  <w:style w:type="paragraph" w:styleId="2">
    <w:name w:val="heading 1"/>
    <w:basedOn w:val="1"/>
    <w:next w:val="1"/>
    <w:link w:val="17"/>
    <w:qFormat/>
    <w:uiPriority w:val="9"/>
    <w:pPr>
      <w:keepNext/>
      <w:keepLines/>
      <w:spacing w:before="480"/>
      <w:outlineLvl w:val="0"/>
    </w:pPr>
    <w:rPr>
      <w:rFonts w:asciiTheme="majorHAnsi" w:hAnsiTheme="majorHAnsi" w:eastAsiaTheme="majorEastAsia" w:cstheme="majorBidi"/>
      <w:b/>
      <w:bCs/>
      <w:color w:val="376092" w:themeColor="accent1" w:themeShade="BF"/>
      <w:sz w:val="28"/>
      <w:szCs w:val="28"/>
    </w:rPr>
  </w:style>
  <w:style w:type="paragraph" w:styleId="3">
    <w:name w:val="heading 2"/>
    <w:basedOn w:val="1"/>
    <w:next w:val="1"/>
    <w:link w:val="18"/>
    <w:unhideWhenUsed/>
    <w:qFormat/>
    <w:uiPriority w:val="9"/>
    <w:pPr>
      <w:keepNext/>
      <w:keepLines/>
      <w:spacing w:before="200"/>
      <w:outlineLvl w:val="1"/>
    </w:pPr>
    <w:rPr>
      <w:rFonts w:asciiTheme="majorHAnsi" w:hAnsiTheme="majorHAnsi" w:eastAsiaTheme="majorEastAsia" w:cstheme="majorBidi"/>
      <w:b/>
      <w:bCs/>
      <w:color w:val="4F81BD" w:themeColor="accent1"/>
      <w:sz w:val="26"/>
      <w:szCs w:val="26"/>
      <w14:textFill>
        <w14:solidFill>
          <w14:schemeClr w14:val="accent1"/>
        </w14:solidFill>
      </w14:textFill>
    </w:rPr>
  </w:style>
  <w:style w:type="paragraph" w:styleId="4">
    <w:name w:val="heading 3"/>
    <w:basedOn w:val="1"/>
    <w:next w:val="1"/>
    <w:link w:val="19"/>
    <w:unhideWhenUsed/>
    <w:qFormat/>
    <w:uiPriority w:val="9"/>
    <w:pPr>
      <w:keepNext/>
      <w:keepLines/>
      <w:spacing w:before="200"/>
      <w:outlineLvl w:val="2"/>
    </w:pPr>
    <w:rPr>
      <w:rFonts w:asciiTheme="majorHAnsi" w:hAnsiTheme="majorHAnsi" w:eastAsiaTheme="majorEastAsia" w:cstheme="majorBidi"/>
      <w:b/>
      <w:bCs/>
      <w:color w:val="4F81BD" w:themeColor="accent1"/>
      <w14:textFill>
        <w14:solidFill>
          <w14:schemeClr w14:val="accent1"/>
        </w14:solidFill>
      </w14:textFill>
    </w:rPr>
  </w:style>
  <w:style w:type="paragraph" w:styleId="5">
    <w:name w:val="heading 4"/>
    <w:basedOn w:val="1"/>
    <w:next w:val="1"/>
    <w:link w:val="20"/>
    <w:unhideWhenUsed/>
    <w:qFormat/>
    <w:uiPriority w:val="9"/>
    <w:pPr>
      <w:keepNext/>
      <w:keepLines/>
      <w:spacing w:before="200"/>
      <w:outlineLvl w:val="3"/>
    </w:pPr>
    <w:rPr>
      <w:rFonts w:asciiTheme="majorHAnsi" w:hAnsiTheme="majorHAnsi" w:eastAsiaTheme="majorEastAsia" w:cstheme="majorBidi"/>
      <w:b/>
      <w:bCs/>
      <w:i/>
      <w:iCs/>
      <w:color w:val="4F81BD" w:themeColor="accent1"/>
      <w14:textFill>
        <w14:solidFill>
          <w14:schemeClr w14:val="accent1"/>
        </w14:solidFill>
      </w14:textFill>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Layout w:type="fixed"/>
      <w:tblCellMar>
        <w:top w:w="0" w:type="dxa"/>
        <w:left w:w="108" w:type="dxa"/>
        <w:bottom w:w="0" w:type="dxa"/>
        <w:right w:w="108" w:type="dxa"/>
      </w:tblCellMar>
    </w:tblPr>
  </w:style>
  <w:style w:type="paragraph" w:styleId="6">
    <w:name w:val="Normal Indent"/>
    <w:basedOn w:val="1"/>
    <w:unhideWhenUsed/>
    <w:qFormat/>
    <w:uiPriority w:val="99"/>
    <w:pPr>
      <w:ind w:left="720"/>
    </w:pPr>
  </w:style>
  <w:style w:type="paragraph" w:styleId="7">
    <w:name w:val="caption"/>
    <w:basedOn w:val="1"/>
    <w:next w:val="1"/>
    <w:semiHidden/>
    <w:unhideWhenUsed/>
    <w:qFormat/>
    <w:uiPriority w:val="35"/>
    <w:pPr>
      <w:spacing w:line="240" w:lineRule="auto"/>
    </w:pPr>
    <w:rPr>
      <w:b/>
      <w:bCs/>
      <w:color w:val="4F81BD" w:themeColor="accent1"/>
      <w:sz w:val="18"/>
      <w:szCs w:val="18"/>
      <w14:textFill>
        <w14:solidFill>
          <w14:schemeClr w14:val="accent1"/>
        </w14:solidFill>
      </w14:textFill>
    </w:rPr>
  </w:style>
  <w:style w:type="paragraph" w:styleId="8">
    <w:name w:val="header"/>
    <w:basedOn w:val="1"/>
    <w:link w:val="16"/>
    <w:unhideWhenUsed/>
    <w:qFormat/>
    <w:uiPriority w:val="99"/>
    <w:pPr>
      <w:tabs>
        <w:tab w:val="center" w:pos="4680"/>
        <w:tab w:val="right" w:pos="9360"/>
      </w:tabs>
    </w:pPr>
  </w:style>
  <w:style w:type="paragraph" w:styleId="9">
    <w:name w:val="Subtitle"/>
    <w:basedOn w:val="1"/>
    <w:next w:val="1"/>
    <w:link w:val="21"/>
    <w:qFormat/>
    <w:uiPriority w:val="11"/>
    <w:pPr>
      <w:ind w:left="86"/>
    </w:pPr>
    <w:rPr>
      <w:rFonts w:asciiTheme="majorHAnsi" w:hAnsiTheme="majorHAnsi" w:eastAsiaTheme="majorEastAsia" w:cstheme="majorBidi"/>
      <w:i/>
      <w:iCs/>
      <w:color w:val="4F81BD" w:themeColor="accent1"/>
      <w:spacing w:val="15"/>
      <w:sz w:val="24"/>
      <w:szCs w:val="24"/>
      <w14:textFill>
        <w14:solidFill>
          <w14:schemeClr w14:val="accent1"/>
        </w14:solidFill>
      </w14:textFill>
    </w:rPr>
  </w:style>
  <w:style w:type="paragraph" w:styleId="10">
    <w:name w:val="Title"/>
    <w:basedOn w:val="1"/>
    <w:next w:val="1"/>
    <w:link w:val="22"/>
    <w:qFormat/>
    <w:uiPriority w:val="10"/>
    <w:pPr>
      <w:pBdr>
        <w:bottom w:val="single" w:color="4F81BD" w:themeColor="accent1" w:sz="8" w:space="4"/>
      </w:pBdr>
      <w:spacing w:after="300"/>
      <w:contextualSpacing/>
    </w:pPr>
    <w:rPr>
      <w:rFonts w:asciiTheme="majorHAnsi" w:hAnsiTheme="majorHAnsi" w:eastAsiaTheme="majorEastAsia" w:cstheme="majorBidi"/>
      <w:color w:val="17375E" w:themeColor="text2" w:themeShade="BF"/>
      <w:spacing w:val="5"/>
      <w:kern w:val="28"/>
      <w:sz w:val="52"/>
      <w:szCs w:val="52"/>
    </w:rPr>
  </w:style>
  <w:style w:type="table" w:styleId="12">
    <w:name w:val="Table Grid"/>
    <w:basedOn w:val="11"/>
    <w:qFormat/>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style>
  <w:style w:type="character" w:styleId="14">
    <w:name w:val="Emphasis"/>
    <w:basedOn w:val="13"/>
    <w:qFormat/>
    <w:uiPriority w:val="20"/>
    <w:rPr>
      <w:i/>
      <w:iCs/>
    </w:rPr>
  </w:style>
  <w:style w:type="character" w:styleId="15">
    <w:name w:val="Hyperlink"/>
    <w:basedOn w:val="13"/>
    <w:unhideWhenUsed/>
    <w:qFormat/>
    <w:uiPriority w:val="99"/>
    <w:rPr>
      <w:color w:val="0000FF" w:themeColor="hyperlink"/>
      <w:u w:val="single"/>
      <w14:textFill>
        <w14:solidFill>
          <w14:schemeClr w14:val="hlink"/>
        </w14:solidFill>
      </w14:textFill>
    </w:rPr>
  </w:style>
  <w:style w:type="character" w:customStyle="1" w:styleId="16">
    <w:name w:val="Header Char"/>
    <w:basedOn w:val="13"/>
    <w:link w:val="8"/>
    <w:qFormat/>
    <w:uiPriority w:val="99"/>
  </w:style>
  <w:style w:type="character" w:customStyle="1" w:styleId="17">
    <w:name w:val="Heading 1 Char"/>
    <w:basedOn w:val="13"/>
    <w:link w:val="2"/>
    <w:qFormat/>
    <w:uiPriority w:val="9"/>
    <w:rPr>
      <w:rFonts w:asciiTheme="majorHAnsi" w:hAnsiTheme="majorHAnsi" w:eastAsiaTheme="majorEastAsia" w:cstheme="majorBidi"/>
      <w:b/>
      <w:bCs/>
      <w:color w:val="376092" w:themeColor="accent1" w:themeShade="BF"/>
      <w:sz w:val="28"/>
      <w:szCs w:val="28"/>
    </w:rPr>
  </w:style>
  <w:style w:type="character" w:customStyle="1" w:styleId="18">
    <w:name w:val="Heading 2 Char"/>
    <w:basedOn w:val="13"/>
    <w:link w:val="3"/>
    <w:qFormat/>
    <w:uiPriority w:val="9"/>
    <w:rPr>
      <w:rFonts w:asciiTheme="majorHAnsi" w:hAnsiTheme="majorHAnsi" w:eastAsiaTheme="majorEastAsia" w:cstheme="majorBidi"/>
      <w:b/>
      <w:bCs/>
      <w:color w:val="4F81BD" w:themeColor="accent1"/>
      <w:sz w:val="26"/>
      <w:szCs w:val="26"/>
      <w14:textFill>
        <w14:solidFill>
          <w14:schemeClr w14:val="accent1"/>
        </w14:solidFill>
      </w14:textFill>
    </w:rPr>
  </w:style>
  <w:style w:type="character" w:customStyle="1" w:styleId="19">
    <w:name w:val="Heading 3 Char"/>
    <w:basedOn w:val="13"/>
    <w:link w:val="4"/>
    <w:qFormat/>
    <w:uiPriority w:val="9"/>
    <w:rPr>
      <w:rFonts w:asciiTheme="majorHAnsi" w:hAnsiTheme="majorHAnsi" w:eastAsiaTheme="majorEastAsia" w:cstheme="majorBidi"/>
      <w:b/>
      <w:bCs/>
      <w:color w:val="4F81BD" w:themeColor="accent1"/>
      <w14:textFill>
        <w14:solidFill>
          <w14:schemeClr w14:val="accent1"/>
        </w14:solidFill>
      </w14:textFill>
    </w:rPr>
  </w:style>
  <w:style w:type="character" w:customStyle="1" w:styleId="20">
    <w:name w:val="Heading 4 Char"/>
    <w:basedOn w:val="13"/>
    <w:link w:val="5"/>
    <w:qFormat/>
    <w:uiPriority w:val="9"/>
    <w:rPr>
      <w:rFonts w:asciiTheme="majorHAnsi" w:hAnsiTheme="majorHAnsi" w:eastAsiaTheme="majorEastAsia" w:cstheme="majorBidi"/>
      <w:b/>
      <w:bCs/>
      <w:i/>
      <w:iCs/>
      <w:color w:val="4F81BD" w:themeColor="accent1"/>
      <w14:textFill>
        <w14:solidFill>
          <w14:schemeClr w14:val="accent1"/>
        </w14:solidFill>
      </w14:textFill>
    </w:rPr>
  </w:style>
  <w:style w:type="character" w:customStyle="1" w:styleId="21">
    <w:name w:val="Subtitle Char"/>
    <w:basedOn w:val="13"/>
    <w:link w:val="9"/>
    <w:qFormat/>
    <w:uiPriority w:val="11"/>
    <w:rPr>
      <w:rFonts w:asciiTheme="majorHAnsi" w:hAnsiTheme="majorHAnsi" w:eastAsiaTheme="majorEastAsia" w:cstheme="majorBidi"/>
      <w:i/>
      <w:iCs/>
      <w:color w:val="4F81BD" w:themeColor="accent1"/>
      <w:spacing w:val="15"/>
      <w:sz w:val="24"/>
      <w:szCs w:val="24"/>
      <w14:textFill>
        <w14:solidFill>
          <w14:schemeClr w14:val="accent1"/>
        </w14:solidFill>
      </w14:textFill>
    </w:rPr>
  </w:style>
  <w:style w:type="character" w:customStyle="1" w:styleId="22">
    <w:name w:val="Title Char"/>
    <w:basedOn w:val="13"/>
    <w:link w:val="10"/>
    <w:qFormat/>
    <w:uiPriority w:val="10"/>
    <w:rPr>
      <w:rFonts w:asciiTheme="majorHAnsi" w:hAnsiTheme="majorHAnsi" w:eastAsiaTheme="majorEastAsia" w:cstheme="majorBidi"/>
      <w:color w:val="17375E" w:themeColor="text2" w:themeShade="BF"/>
      <w:spacing w:val="5"/>
      <w:kern w:val="28"/>
      <w:sz w:val="52"/>
      <w:szCs w:val="5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16</Pages>
  <Words>4988</Words>
  <Characters>5678</Characters>
  <TotalTime>2</TotalTime>
  <ScaleCrop>false</ScaleCrop>
  <LinksUpToDate>false</LinksUpToDate>
  <CharactersWithSpaces>5678</CharactersWithSpaces>
  <Application>WPS Office_11.1.0.8799_F1E327BC-269C-435d-A152-05C5408002CA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2025-08-14T12:13:00Z</dcterms:created>
  <dc:creator>Administrator</dc:creator>
  <cp:lastModifiedBy>Administrator</cp:lastModifiedBy>
  <dcterms:modified xsi:type="dcterms:W3CDTF">2025-09-02T13:51:17Z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eyJoZGlkIjoiMGIxZTI3ODM4ZmVjOGE5NDFiYmE3OTRiMjQ5OTEyNzIiLCJ1c2VySWQiOiIyNTk4NTcxMjUifQ==</vt:lpwstr>
  </property>
  <property fmtid="{D5CDD505-2E9C-101B-9397-08002B2CF9AE}" pid="3" name="KSOProductBuildVer">
    <vt:lpwstr>2052-11.1.0.8799</vt:lpwstr>
  </property>
  <property fmtid="{D5CDD505-2E9C-101B-9397-08002B2CF9AE}" pid="4" name="ICV">
    <vt:lpwstr>7ABE2A5223374F26BE1F2E26082CC8EB_13</vt:lpwstr>
  </property>
</Properties>
</file>