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35D1DF">
      <w:pPr>
        <w:widowControl/>
        <w:spacing w:before="0" w:beforeLines="0" w:beforeAutospacing="0" w:after="0" w:afterLines="0" w:afterAutospacing="0" w:line="240" w:lineRule="auto"/>
        <w:jc w:val="left"/>
        <w:rPr>
          <w:rFonts w:ascii="宋体" w:eastAsia="宋体"/>
          <w:sz w:val="32"/>
          <w:szCs w:val="32"/>
        </w:rPr>
      </w:pPr>
    </w:p>
    <w:p w14:paraId="5FB35240">
      <w:pPr>
        <w:widowControl/>
        <w:spacing w:before="0" w:beforeLines="0" w:beforeAutospacing="0" w:after="0" w:afterLines="0" w:afterAutospacing="0" w:line="240" w:lineRule="auto"/>
        <w:jc w:val="left"/>
        <w:rPr>
          <w:rFonts w:ascii="宋体" w:eastAsia="宋体"/>
          <w:sz w:val="44"/>
          <w:szCs w:val="44"/>
        </w:rPr>
      </w:pPr>
    </w:p>
    <w:p w14:paraId="4587BAD0">
      <w:pPr>
        <w:widowControl/>
        <w:spacing w:before="0" w:beforeLines="0" w:beforeAutospacing="0" w:after="0" w:afterLines="0" w:afterAutospacing="0" w:line="240" w:lineRule="auto"/>
        <w:jc w:val="left"/>
        <w:rPr>
          <w:rFonts w:ascii="宋体" w:eastAsia="宋体"/>
          <w:sz w:val="44"/>
          <w:szCs w:val="44"/>
        </w:rPr>
      </w:pPr>
    </w:p>
    <w:p w14:paraId="2C0400AE">
      <w:pPr>
        <w:widowControl/>
        <w:spacing w:before="0" w:beforeLines="0" w:beforeAutospacing="0" w:after="0" w:afterLines="0" w:afterAutospacing="0" w:line="240" w:lineRule="auto"/>
        <w:jc w:val="left"/>
        <w:rPr>
          <w:rFonts w:ascii="宋体" w:eastAsia="宋体"/>
          <w:sz w:val="44"/>
          <w:szCs w:val="44"/>
        </w:rPr>
      </w:pPr>
    </w:p>
    <w:p w14:paraId="0460EA53">
      <w:pPr>
        <w:widowControl/>
        <w:spacing w:before="0" w:beforeLines="0" w:beforeAutospacing="0" w:after="0" w:afterLines="0" w:afterAutospacing="0" w:line="240" w:lineRule="auto"/>
        <w:jc w:val="center"/>
        <w:outlineLvl w:val="0"/>
        <w:rPr>
          <w:rFonts w:ascii="宋体" w:eastAsia="黑体"/>
          <w:b w:val="0"/>
          <w:sz w:val="44"/>
          <w:szCs w:val="44"/>
        </w:rPr>
      </w:pPr>
      <w:r>
        <w:rPr>
          <w:rFonts w:ascii="宋体" w:eastAsia="黑体"/>
          <w:b w:val="0"/>
          <w:sz w:val="44"/>
          <w:szCs w:val="44"/>
        </w:rPr>
        <w:t>新疆维吾尔自治区粮食和物资储备局信息</w:t>
      </w:r>
    </w:p>
    <w:p w14:paraId="46E57410">
      <w:pPr>
        <w:widowControl/>
        <w:spacing w:before="0" w:beforeLines="0" w:beforeAutospacing="0" w:after="0" w:afterLines="0" w:afterAutospacing="0" w:line="240" w:lineRule="auto"/>
        <w:jc w:val="center"/>
        <w:outlineLvl w:val="0"/>
        <w:rPr>
          <w:rFonts w:ascii="黑体" w:eastAsia="黑体"/>
          <w:sz w:val="44"/>
          <w:szCs w:val="44"/>
        </w:rPr>
      </w:pPr>
      <w:r>
        <w:rPr>
          <w:rFonts w:ascii="宋体" w:eastAsia="黑体"/>
          <w:b w:val="0"/>
          <w:sz w:val="44"/>
          <w:szCs w:val="44"/>
        </w:rPr>
        <w:t>中心</w:t>
      </w:r>
      <w:r>
        <w:rPr>
          <w:rFonts w:ascii="黑体" w:eastAsia="黑体"/>
          <w:b w:val="0"/>
          <w:sz w:val="44"/>
          <w:szCs w:val="44"/>
        </w:rPr>
        <w:t>2024年度部门决算公开说明</w:t>
      </w:r>
    </w:p>
    <w:p w14:paraId="0F1A8382">
      <w:pPr>
        <w:widowControl/>
      </w:pPr>
      <w:r>
        <w:rPr>
          <w:b w:val="0"/>
          <w:sz w:val="0"/>
          <w:szCs w:val="0"/>
        </w:rPr>
        <w:br w:type="page"/>
      </w:r>
    </w:p>
    <w:p w14:paraId="79B06CE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rPr>
          <w:rFonts w:ascii="黑体" w:eastAsia="黑体"/>
          <w:kern w:val="21"/>
          <w:sz w:val="32"/>
          <w:szCs w:val="32"/>
        </w:rPr>
      </w:pPr>
      <w:r>
        <w:rPr>
          <w:rFonts w:ascii="黑体" w:eastAsia="黑体"/>
          <w:b/>
          <w:kern w:val="21"/>
          <w:sz w:val="32"/>
          <w:szCs w:val="32"/>
        </w:rPr>
        <w:t>目录</w:t>
      </w:r>
    </w:p>
    <w:p w14:paraId="1553ADA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kern w:val="21"/>
          <w:sz w:val="32"/>
          <w:szCs w:val="32"/>
        </w:rPr>
        <w:t>第一部分单位概况</w:t>
      </w:r>
    </w:p>
    <w:p w14:paraId="5527714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一、主要职能</w:t>
      </w:r>
    </w:p>
    <w:p w14:paraId="787DFA3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二、机构设置及人员情况</w:t>
      </w:r>
    </w:p>
    <w:p w14:paraId="128C15B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kern w:val="21"/>
          <w:sz w:val="32"/>
          <w:szCs w:val="32"/>
        </w:rPr>
        <w:t>第二部分部门决算情况说明</w:t>
      </w:r>
    </w:p>
    <w:p w14:paraId="3346DA3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一、收入支出决算总体情况说明</w:t>
      </w:r>
    </w:p>
    <w:p w14:paraId="36D3E4E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二、收入决算情况说明</w:t>
      </w:r>
    </w:p>
    <w:p w14:paraId="49D2AE3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三、支出决算情况说明</w:t>
      </w:r>
    </w:p>
    <w:p w14:paraId="0F0B4E9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四、财政拨款收入支出决算总体情况说明</w:t>
      </w:r>
    </w:p>
    <w:p w14:paraId="1F1D15B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五、一般公共预算财政拨款支出决算情况说明</w:t>
      </w:r>
    </w:p>
    <w:p w14:paraId="1423822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（一）一般公共预算财政拨款支出决算总体情况</w:t>
      </w:r>
    </w:p>
    <w:p w14:paraId="68C3612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（二）一般公共预算财政拨款支出决算结构情况</w:t>
      </w:r>
    </w:p>
    <w:p w14:paraId="25856D8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（三）一般公共预算财政拨款支出决算具体情况</w:t>
      </w:r>
    </w:p>
    <w:p w14:paraId="5E6985A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六、一般公共预算财政拨款基本支出决算情况说明</w:t>
      </w:r>
    </w:p>
    <w:p w14:paraId="2DB8B53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七、政府性基金预算财政拨款收入支出决算情况说明</w:t>
      </w:r>
    </w:p>
    <w:p w14:paraId="3BC9FB1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八、国有资本经营预算财政拨款收入支出决算情况说明</w:t>
      </w:r>
    </w:p>
    <w:p w14:paraId="0764056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九、财政拨款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经费支出决算情况说明</w:t>
      </w:r>
    </w:p>
    <w:p w14:paraId="2920E8A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十、其他重要事项的情况说明</w:t>
      </w:r>
    </w:p>
    <w:p w14:paraId="070D2E6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（一）机关运行经费及公用经费支出情况</w:t>
      </w:r>
    </w:p>
    <w:p w14:paraId="6C7262A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（二）政府采购情况</w:t>
      </w:r>
    </w:p>
    <w:p w14:paraId="0CD2812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（三）国有资产占用情况说明</w:t>
      </w:r>
    </w:p>
    <w:p w14:paraId="7910F0F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十一、预算绩效的情况说明</w:t>
      </w:r>
    </w:p>
    <w:p w14:paraId="7D9AFE0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十二、其他需说明的事项</w:t>
      </w:r>
    </w:p>
    <w:p w14:paraId="1FEC9E8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kern w:val="21"/>
          <w:sz w:val="32"/>
          <w:szCs w:val="32"/>
        </w:rPr>
        <w:t>第三部分专业名词解释</w:t>
      </w:r>
    </w:p>
    <w:p w14:paraId="510B778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kern w:val="21"/>
          <w:sz w:val="32"/>
          <w:szCs w:val="32"/>
        </w:rPr>
        <w:t>第四部分部门决算报表（见附表）</w:t>
      </w:r>
    </w:p>
    <w:p w14:paraId="1ACB50A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一、《收入支出决算总表》</w:t>
      </w:r>
    </w:p>
    <w:p w14:paraId="5759154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二、《收入决算表》</w:t>
      </w:r>
    </w:p>
    <w:p w14:paraId="4FC6954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三、《支出决算表》</w:t>
      </w:r>
    </w:p>
    <w:p w14:paraId="6BAA5C4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四、《财政拨款收入支出决算总表》</w:t>
      </w:r>
    </w:p>
    <w:p w14:paraId="5A79DB8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五、《一般公共预算财政拨款支出决算表》</w:t>
      </w:r>
    </w:p>
    <w:p w14:paraId="767828E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六、《一般公共预算财政拨款基本支出决算表》</w:t>
      </w:r>
    </w:p>
    <w:p w14:paraId="2FE13F3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七、《政府性基金预算财政拨款收入支出决算表》</w:t>
      </w:r>
    </w:p>
    <w:p w14:paraId="3576F88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八、《国有资本经营预算财政拨款收入支出决算表》</w:t>
      </w:r>
    </w:p>
    <w:p w14:paraId="07EF479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both"/>
        <w:textAlignment w:val="auto"/>
        <w:rPr>
          <w:rFonts w:ascii="仿宋_GB2312" w:eastAsia="仿宋_GB2312"/>
          <w:kern w:val="21"/>
          <w:sz w:val="32"/>
          <w:szCs w:val="32"/>
        </w:rPr>
      </w:pPr>
      <w:r>
        <w:rPr>
          <w:rFonts w:ascii="仿宋_GB2312" w:eastAsia="仿宋_GB2312"/>
          <w:b w:val="0"/>
          <w:kern w:val="21"/>
          <w:sz w:val="32"/>
          <w:szCs w:val="32"/>
        </w:rPr>
        <w:t>九、《财政拨款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经费支出决算表》</w:t>
      </w:r>
    </w:p>
    <w:p w14:paraId="55B90A2E">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rPr>
      </w:pPr>
      <w:r>
        <w:rPr>
          <w:b w:val="0"/>
          <w:kern w:val="21"/>
          <w:sz w:val="32"/>
          <w:szCs w:val="32"/>
        </w:rPr>
        <w:br w:type="page"/>
      </w:r>
    </w:p>
    <w:p w14:paraId="3CE3CC9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rPr>
      </w:pPr>
      <w:r>
        <w:rPr>
          <w:rFonts w:ascii="黑体" w:eastAsia="黑体"/>
          <w:b w:val="0"/>
          <w:kern w:val="21"/>
          <w:sz w:val="32"/>
          <w:szCs w:val="32"/>
        </w:rPr>
        <w:t>第一部分单位概况</w:t>
      </w:r>
    </w:p>
    <w:p w14:paraId="48B06C5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一、主要职能</w:t>
      </w:r>
    </w:p>
    <w:p w14:paraId="4B01DCE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kern w:val="21"/>
          <w:sz w:val="32"/>
          <w:szCs w:val="32"/>
          <w:lang w:eastAsia="zh-CN"/>
        </w:rPr>
      </w:pPr>
      <w:r>
        <w:rPr>
          <w:rFonts w:hint="eastAsia" w:ascii="仿宋_GB2312" w:eastAsia="仿宋_GB2312"/>
          <w:kern w:val="21"/>
          <w:sz w:val="32"/>
          <w:szCs w:val="32"/>
        </w:rPr>
        <w:t>一是制定和实施粮食系统信息化建设与发展规划；二是组织和推进粮食系统信息化建设开发项目；三是负责局软件系统、数据库管理与运行维护；四是负责局网络、机房及相关设备管理与运行维护；五是负责局各类网站的管理与运行维护；六是负责局信息网络安全保密管理；七是负责粮食信息采编、报送与宣传报道；八是组织开展信息化技术培训和对外学习交流；九是负责信息化工作文书和技术档案管理；十是完成领导交办的其他工作</w:t>
      </w:r>
      <w:r>
        <w:rPr>
          <w:rFonts w:hint="eastAsia" w:ascii="仿宋_GB2312" w:eastAsia="仿宋_GB2312"/>
          <w:kern w:val="21"/>
          <w:sz w:val="32"/>
          <w:szCs w:val="32"/>
          <w:lang w:eastAsia="zh-CN"/>
        </w:rPr>
        <w:t>。</w:t>
      </w:r>
    </w:p>
    <w:p w14:paraId="30551D1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二、机构设置及人员情况</w:t>
      </w:r>
    </w:p>
    <w:p w14:paraId="45DBCEA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hint="eastAsia" w:ascii="仿宋_GB2312" w:eastAsia="仿宋_GB2312"/>
          <w:kern w:val="21"/>
          <w:sz w:val="32"/>
          <w:szCs w:val="32"/>
          <w:lang w:eastAsia="zh-CN"/>
        </w:rPr>
      </w:pPr>
      <w:r>
        <w:rPr>
          <w:rFonts w:ascii="仿宋_GB2312" w:eastAsia="仿宋_GB2312"/>
          <w:b w:val="0"/>
          <w:kern w:val="21"/>
          <w:sz w:val="32"/>
          <w:szCs w:val="32"/>
        </w:rPr>
        <w:t>新疆维吾尔自治区粮食和物资储备局信息中心2024年度，实有人数4人，其中：在职人员4人，</w:t>
      </w:r>
      <w:r>
        <w:rPr>
          <w:rFonts w:hint="eastAsia" w:ascii="仿宋_GB2312" w:eastAsia="仿宋_GB2312"/>
          <w:b w:val="0"/>
          <w:kern w:val="21"/>
          <w:sz w:val="32"/>
          <w:szCs w:val="32"/>
          <w:lang w:eastAsia="zh-CN"/>
        </w:rPr>
        <w:t>增加</w:t>
      </w:r>
      <w:r>
        <w:rPr>
          <w:rFonts w:hint="eastAsia" w:ascii="仿宋_GB2312" w:eastAsia="仿宋_GB2312"/>
          <w:b w:val="0"/>
          <w:kern w:val="21"/>
          <w:sz w:val="32"/>
          <w:szCs w:val="32"/>
          <w:lang w:val="en-US" w:eastAsia="zh-CN"/>
        </w:rPr>
        <w:t>0人</w:t>
      </w:r>
      <w:r>
        <w:rPr>
          <w:rFonts w:ascii="仿宋_GB2312" w:eastAsia="仿宋_GB2312"/>
          <w:b w:val="0"/>
          <w:kern w:val="21"/>
          <w:sz w:val="32"/>
          <w:szCs w:val="32"/>
        </w:rPr>
        <w:t>；离休人员0人，</w:t>
      </w:r>
      <w:r>
        <w:rPr>
          <w:rFonts w:hint="eastAsia" w:ascii="仿宋_GB2312" w:eastAsia="仿宋_GB2312"/>
          <w:b w:val="0"/>
          <w:kern w:val="21"/>
          <w:sz w:val="32"/>
          <w:szCs w:val="32"/>
          <w:lang w:eastAsia="zh-CN"/>
        </w:rPr>
        <w:t>增加</w:t>
      </w:r>
      <w:r>
        <w:rPr>
          <w:rFonts w:hint="eastAsia" w:ascii="仿宋_GB2312" w:eastAsia="仿宋_GB2312"/>
          <w:b w:val="0"/>
          <w:kern w:val="21"/>
          <w:sz w:val="32"/>
          <w:szCs w:val="32"/>
          <w:lang w:val="en-US" w:eastAsia="zh-CN"/>
        </w:rPr>
        <w:t>0人</w:t>
      </w:r>
      <w:r>
        <w:rPr>
          <w:rFonts w:ascii="仿宋_GB2312" w:eastAsia="仿宋_GB2312"/>
          <w:b w:val="0"/>
          <w:kern w:val="21"/>
          <w:sz w:val="32"/>
          <w:szCs w:val="32"/>
        </w:rPr>
        <w:t>；退休人员0人，</w:t>
      </w:r>
      <w:r>
        <w:rPr>
          <w:rFonts w:hint="eastAsia" w:ascii="仿宋_GB2312" w:eastAsia="仿宋_GB2312"/>
          <w:b w:val="0"/>
          <w:kern w:val="21"/>
          <w:sz w:val="32"/>
          <w:szCs w:val="32"/>
          <w:lang w:eastAsia="zh-CN"/>
        </w:rPr>
        <w:t>增加</w:t>
      </w:r>
      <w:r>
        <w:rPr>
          <w:rFonts w:hint="eastAsia" w:ascii="仿宋_GB2312" w:eastAsia="仿宋_GB2312"/>
          <w:b w:val="0"/>
          <w:kern w:val="21"/>
          <w:sz w:val="32"/>
          <w:szCs w:val="32"/>
          <w:lang w:val="en-US" w:eastAsia="zh-CN"/>
        </w:rPr>
        <w:t>0人</w:t>
      </w:r>
      <w:r>
        <w:rPr>
          <w:rFonts w:hint="eastAsia" w:ascii="仿宋_GB2312" w:eastAsia="仿宋_GB2312"/>
          <w:b w:val="0"/>
          <w:kern w:val="21"/>
          <w:sz w:val="32"/>
          <w:szCs w:val="32"/>
          <w:lang w:eastAsia="zh-CN"/>
        </w:rPr>
        <w:t>。</w:t>
      </w:r>
    </w:p>
    <w:p w14:paraId="273CEF4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新疆维吾尔自治区粮食和物资储备局信息中心无下属预算单位，下设</w:t>
      </w:r>
      <w:r>
        <w:rPr>
          <w:rFonts w:hint="eastAsia" w:ascii="仿宋_GB2312" w:eastAsia="仿宋_GB2312"/>
          <w:b w:val="0"/>
          <w:kern w:val="21"/>
          <w:sz w:val="32"/>
          <w:szCs w:val="32"/>
          <w:lang w:val="en-US" w:eastAsia="zh-CN"/>
        </w:rPr>
        <w:t>2</w:t>
      </w:r>
      <w:r>
        <w:rPr>
          <w:rFonts w:ascii="仿宋_GB2312" w:eastAsia="仿宋_GB2312"/>
          <w:b w:val="0"/>
          <w:kern w:val="21"/>
          <w:sz w:val="32"/>
          <w:szCs w:val="32"/>
        </w:rPr>
        <w:t>个</w:t>
      </w:r>
      <w:r>
        <w:rPr>
          <w:rFonts w:hint="eastAsia" w:ascii="仿宋_GB2312" w:eastAsia="仿宋_GB2312"/>
          <w:b w:val="0"/>
          <w:kern w:val="21"/>
          <w:sz w:val="32"/>
          <w:szCs w:val="32"/>
          <w:lang w:val="en-US" w:eastAsia="zh-CN"/>
        </w:rPr>
        <w:t>科</w:t>
      </w:r>
      <w:r>
        <w:rPr>
          <w:rFonts w:hint="eastAsia" w:ascii="仿宋_GB2312" w:eastAsia="仿宋_GB2312"/>
          <w:b w:val="0"/>
          <w:kern w:val="21"/>
          <w:sz w:val="32"/>
          <w:szCs w:val="32"/>
          <w:lang w:eastAsia="zh-CN"/>
        </w:rPr>
        <w:t>室</w:t>
      </w:r>
      <w:r>
        <w:rPr>
          <w:rFonts w:ascii="仿宋_GB2312" w:eastAsia="仿宋_GB2312"/>
          <w:b w:val="0"/>
          <w:kern w:val="21"/>
          <w:sz w:val="32"/>
          <w:szCs w:val="32"/>
        </w:rPr>
        <w:t>，分别是：</w:t>
      </w:r>
      <w:r>
        <w:rPr>
          <w:rFonts w:hint="eastAsia" w:ascii="仿宋_GB2312" w:eastAsia="仿宋_GB2312"/>
          <w:b w:val="0"/>
          <w:kern w:val="21"/>
          <w:sz w:val="32"/>
          <w:szCs w:val="32"/>
          <w:lang w:eastAsia="zh-CN"/>
        </w:rPr>
        <w:t>办公室、财务</w:t>
      </w:r>
      <w:r>
        <w:rPr>
          <w:rFonts w:hint="eastAsia" w:ascii="仿宋_GB2312" w:eastAsia="仿宋_GB2312"/>
          <w:b w:val="0"/>
          <w:kern w:val="21"/>
          <w:sz w:val="32"/>
          <w:szCs w:val="32"/>
          <w:lang w:val="en-US" w:eastAsia="zh-CN"/>
        </w:rPr>
        <w:t>科</w:t>
      </w:r>
      <w:r>
        <w:rPr>
          <w:rFonts w:ascii="仿宋_GB2312" w:eastAsia="仿宋_GB2312"/>
          <w:b w:val="0"/>
          <w:kern w:val="21"/>
          <w:sz w:val="32"/>
          <w:szCs w:val="32"/>
        </w:rPr>
        <w:t>。</w:t>
      </w:r>
    </w:p>
    <w:p w14:paraId="7934B46E">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sz w:val="32"/>
          <w:szCs w:val="32"/>
        </w:rPr>
      </w:pPr>
      <w:r>
        <w:rPr>
          <w:b w:val="0"/>
          <w:kern w:val="21"/>
          <w:sz w:val="32"/>
          <w:szCs w:val="32"/>
        </w:rPr>
        <w:br w:type="page"/>
      </w:r>
    </w:p>
    <w:p w14:paraId="13074EB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rPr>
      </w:pPr>
      <w:r>
        <w:rPr>
          <w:rFonts w:ascii="黑体" w:eastAsia="黑体"/>
          <w:b w:val="0"/>
          <w:kern w:val="21"/>
          <w:sz w:val="32"/>
          <w:szCs w:val="32"/>
        </w:rPr>
        <w:t>第二部分部门决算情况说明</w:t>
      </w:r>
    </w:p>
    <w:p w14:paraId="793DA66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一、收入支出决算总体情况说明</w:t>
      </w:r>
    </w:p>
    <w:p w14:paraId="58089BE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2024年度收入总计530.27万元，其中：本年收入合计530.27万元，使用非财政拨款结余（含专用结余）0.00万元，年初结转和结余0.00万元。</w:t>
      </w:r>
    </w:p>
    <w:p w14:paraId="0D57159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2024年度支出总计530.27万元，其中：本年支出合计525.95万元，结余分配0.00万元，年末结转和结余4.31万元。</w:t>
      </w:r>
    </w:p>
    <w:p w14:paraId="58AF756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收入支出总体与上年相比，减少700.72万元，下降56.92%，主要原因是：</w:t>
      </w:r>
      <w:r>
        <w:rPr>
          <w:rFonts w:hint="eastAsia" w:ascii="仿宋_GB2312" w:eastAsia="仿宋_GB2312"/>
          <w:b w:val="0"/>
          <w:kern w:val="21"/>
          <w:sz w:val="32"/>
          <w:szCs w:val="32"/>
        </w:rPr>
        <w:t>本年</w:t>
      </w:r>
      <w:r>
        <w:rPr>
          <w:rFonts w:hint="eastAsia" w:ascii="仿宋_GB2312" w:eastAsia="仿宋_GB2312"/>
          <w:b w:val="0"/>
          <w:kern w:val="21"/>
          <w:sz w:val="32"/>
          <w:szCs w:val="32"/>
          <w:lang w:val="en-US" w:eastAsia="zh-CN"/>
        </w:rPr>
        <w:t>减少自治区粮食购销领域监管信息化省级平台优化升级项目</w:t>
      </w:r>
      <w:r>
        <w:rPr>
          <w:rFonts w:ascii="仿宋_GB2312" w:eastAsia="仿宋_GB2312"/>
          <w:b w:val="0"/>
          <w:kern w:val="21"/>
          <w:sz w:val="32"/>
          <w:szCs w:val="32"/>
        </w:rPr>
        <w:t>。</w:t>
      </w:r>
    </w:p>
    <w:p w14:paraId="483CA6B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二、收入决算情况说明</w:t>
      </w:r>
    </w:p>
    <w:p w14:paraId="5655FB5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本年收入530.27万元，其中：财政拨款收入530.25万元,占100.00%；上级补助收入0.00万元,占0.00%；事业收入0.00万元，占0.00%；经营收入0.00万元,占0.00%；附属单位上缴收入0.00万元，占0.00%；其他收入0.01万元，占0.00%。</w:t>
      </w:r>
    </w:p>
    <w:p w14:paraId="0350BF4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三、支出决算情况说明</w:t>
      </w:r>
    </w:p>
    <w:p w14:paraId="4805B46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本年支出525.95万元，其中：基本支出83.96万元，占15.96%；项目支出441.99万元，占84.04%；上缴上级支出0.00万元，占0.00%；经营支出0.00万元，占0.00%；对附属单位补助支出0.00万元，占0.00%。</w:t>
      </w:r>
    </w:p>
    <w:p w14:paraId="59D9BA9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四、财政拨款收入支出决算总体情况说明</w:t>
      </w:r>
    </w:p>
    <w:p w14:paraId="1A64B5C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2024年度财政拨款收入总计530.25万元，其中：年初财政拨款结转和结余0.00万元，本年财政拨款收入530.25万元。财政拨款支出总计530.25万元，其中：年末财政拨款结转和结余4.31万元，本年财政拨款支出525.94万元。</w:t>
      </w:r>
    </w:p>
    <w:p w14:paraId="7A621BA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财政拨款收入支出总体与上年相比，减少699.68万元，下降56.89%，主要原因是：</w:t>
      </w:r>
      <w:r>
        <w:rPr>
          <w:rFonts w:hint="eastAsia" w:ascii="仿宋_GB2312" w:eastAsia="仿宋_GB2312"/>
          <w:b w:val="0"/>
          <w:kern w:val="21"/>
          <w:sz w:val="32"/>
          <w:szCs w:val="32"/>
        </w:rPr>
        <w:t>本年</w:t>
      </w:r>
      <w:r>
        <w:rPr>
          <w:rFonts w:hint="eastAsia" w:ascii="仿宋_GB2312" w:eastAsia="仿宋_GB2312"/>
          <w:b w:val="0"/>
          <w:kern w:val="21"/>
          <w:sz w:val="32"/>
          <w:szCs w:val="32"/>
          <w:lang w:val="en-US" w:eastAsia="zh-CN"/>
        </w:rPr>
        <w:t>减少自治区粮食购销领域监管信息化省级平台优化升级项目</w:t>
      </w:r>
      <w:r>
        <w:rPr>
          <w:rFonts w:ascii="仿宋_GB2312" w:eastAsia="仿宋_GB2312"/>
          <w:b w:val="0"/>
          <w:kern w:val="21"/>
          <w:sz w:val="32"/>
          <w:szCs w:val="32"/>
        </w:rPr>
        <w:t>。与年初预算相比，年初预算数524.88万元，决算数530.25万元，预决算差异率1.02%，主要原因是：</w:t>
      </w:r>
      <w:r>
        <w:rPr>
          <w:rFonts w:hint="eastAsia" w:ascii="仿宋_GB2312" w:hAnsi="仿宋" w:eastAsia="仿宋_GB2312"/>
          <w:kern w:val="21"/>
          <w:sz w:val="32"/>
          <w:szCs w:val="32"/>
          <w:lang w:val="en-US" w:eastAsia="zh-CN"/>
        </w:rPr>
        <w:t>年中追加人员工资、社保、公积金基数调增部分资金，导致预决算存在差异</w:t>
      </w:r>
      <w:r>
        <w:rPr>
          <w:rFonts w:ascii="仿宋_GB2312" w:eastAsia="仿宋_GB2312"/>
          <w:b w:val="0"/>
          <w:kern w:val="21"/>
          <w:sz w:val="32"/>
          <w:szCs w:val="32"/>
        </w:rPr>
        <w:t>。</w:t>
      </w:r>
    </w:p>
    <w:p w14:paraId="22A3DFA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五、一般公共预算财政拨款支出决算情况说明</w:t>
      </w:r>
    </w:p>
    <w:p w14:paraId="58DE0C9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（一）一般公共预算财政拨款支出决算总体情况</w:t>
      </w:r>
    </w:p>
    <w:p w14:paraId="24BC6C3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2024年度一般公共预算财政拨款支出525.94万元，占本年支出合计的100.00%。与上年相比，减少703.99万元，下降57.24%，主要原因是：</w:t>
      </w:r>
      <w:r>
        <w:rPr>
          <w:rFonts w:hint="eastAsia" w:ascii="仿宋_GB2312" w:eastAsia="仿宋_GB2312"/>
          <w:b w:val="0"/>
          <w:kern w:val="21"/>
          <w:sz w:val="32"/>
          <w:szCs w:val="32"/>
        </w:rPr>
        <w:t>本年</w:t>
      </w:r>
      <w:r>
        <w:rPr>
          <w:rFonts w:hint="eastAsia" w:ascii="仿宋_GB2312" w:eastAsia="仿宋_GB2312"/>
          <w:b w:val="0"/>
          <w:kern w:val="21"/>
          <w:sz w:val="32"/>
          <w:szCs w:val="32"/>
          <w:lang w:val="en-US" w:eastAsia="zh-CN"/>
        </w:rPr>
        <w:t>减少自治区粮食购销领域监管信息化省级平台优化升级项目</w:t>
      </w:r>
      <w:r>
        <w:rPr>
          <w:rFonts w:ascii="仿宋_GB2312" w:eastAsia="仿宋_GB2312"/>
          <w:b w:val="0"/>
          <w:kern w:val="21"/>
          <w:sz w:val="32"/>
          <w:szCs w:val="32"/>
        </w:rPr>
        <w:t>。与年初预算相比，年初预算数524.88万元，决算数525.94万元，预决算差异率0.20%，主要原因是：</w:t>
      </w:r>
      <w:r>
        <w:rPr>
          <w:rFonts w:hint="eastAsia" w:ascii="仿宋_GB2312" w:hAnsi="仿宋" w:eastAsia="仿宋_GB2312"/>
          <w:kern w:val="21"/>
          <w:sz w:val="32"/>
          <w:szCs w:val="32"/>
          <w:lang w:val="en-US" w:eastAsia="zh-CN"/>
        </w:rPr>
        <w:t>年中追加人员工资、社保、公积金基数调增部分资金，导致预决算存在差异</w:t>
      </w:r>
      <w:r>
        <w:rPr>
          <w:rFonts w:ascii="仿宋_GB2312" w:eastAsia="仿宋_GB2312"/>
          <w:b w:val="0"/>
          <w:kern w:val="21"/>
          <w:sz w:val="32"/>
          <w:szCs w:val="32"/>
        </w:rPr>
        <w:t>。</w:t>
      </w:r>
    </w:p>
    <w:p w14:paraId="6D496D9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（二）一般公共预算财政拨款支出决算结构情况</w:t>
      </w:r>
    </w:p>
    <w:p w14:paraId="750F840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hint="eastAsia" w:ascii="仿宋_GB2312" w:eastAsia="仿宋_GB2312"/>
          <w:b w:val="0"/>
          <w:kern w:val="21"/>
          <w:sz w:val="32"/>
          <w:szCs w:val="32"/>
          <w:lang w:val="en-US" w:eastAsia="zh-CN"/>
        </w:rPr>
        <w:t>1.</w:t>
      </w:r>
      <w:r>
        <w:rPr>
          <w:rFonts w:ascii="仿宋_GB2312" w:eastAsia="仿宋_GB2312"/>
          <w:b w:val="0"/>
          <w:kern w:val="21"/>
          <w:sz w:val="32"/>
          <w:szCs w:val="32"/>
        </w:rPr>
        <w:t>社会保障和就业支出（类）7.86万元，占1.49%。</w:t>
      </w:r>
    </w:p>
    <w:p w14:paraId="03C988A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hint="eastAsia" w:ascii="仿宋_GB2312" w:eastAsia="仿宋_GB2312"/>
          <w:b w:val="0"/>
          <w:kern w:val="21"/>
          <w:sz w:val="32"/>
          <w:szCs w:val="32"/>
          <w:lang w:val="en-US" w:eastAsia="zh-CN"/>
        </w:rPr>
        <w:t>2.</w:t>
      </w:r>
      <w:r>
        <w:rPr>
          <w:rFonts w:ascii="仿宋_GB2312" w:eastAsia="仿宋_GB2312"/>
          <w:b w:val="0"/>
          <w:kern w:val="21"/>
          <w:sz w:val="32"/>
          <w:szCs w:val="32"/>
        </w:rPr>
        <w:t>卫生健康支出（类）7.21万元，占1.37%。</w:t>
      </w:r>
    </w:p>
    <w:p w14:paraId="2FBC21D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hint="eastAsia" w:ascii="仿宋_GB2312" w:eastAsia="仿宋_GB2312"/>
          <w:b w:val="0"/>
          <w:kern w:val="21"/>
          <w:sz w:val="32"/>
          <w:szCs w:val="32"/>
          <w:lang w:val="en-US" w:eastAsia="zh-CN"/>
        </w:rPr>
        <w:t>3.</w:t>
      </w:r>
      <w:r>
        <w:rPr>
          <w:rFonts w:ascii="仿宋_GB2312" w:eastAsia="仿宋_GB2312"/>
          <w:b w:val="0"/>
          <w:kern w:val="21"/>
          <w:sz w:val="32"/>
          <w:szCs w:val="32"/>
        </w:rPr>
        <w:t>住房保障支出（类）6.04万元，占1.15%。</w:t>
      </w:r>
    </w:p>
    <w:p w14:paraId="2CA04BB0">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hint="eastAsia" w:ascii="仿宋_GB2312" w:eastAsia="仿宋_GB2312"/>
          <w:b w:val="0"/>
          <w:kern w:val="21"/>
          <w:sz w:val="32"/>
          <w:szCs w:val="32"/>
          <w:lang w:val="en-US" w:eastAsia="zh-CN"/>
        </w:rPr>
        <w:t>4.</w:t>
      </w:r>
      <w:r>
        <w:rPr>
          <w:rFonts w:ascii="仿宋_GB2312" w:eastAsia="仿宋_GB2312"/>
          <w:b w:val="0"/>
          <w:kern w:val="21"/>
          <w:sz w:val="32"/>
          <w:szCs w:val="32"/>
        </w:rPr>
        <w:t>粮油物资储备支出（类）504.84万元，占95.99%。</w:t>
      </w:r>
    </w:p>
    <w:p w14:paraId="0001ACD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（三）一般公共预算财政拨款支出决算具体情况</w:t>
      </w:r>
    </w:p>
    <w:p w14:paraId="6A9A8778">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社会保障和就业支出（类）行政事业单位养老支出（款）机关事业单位基本养老保险缴费支出（项）：支出决算数为7.86万元，比上年决算减少0.85万元，下降9.76%，主要原因是：</w:t>
      </w:r>
      <w:r>
        <w:rPr>
          <w:rFonts w:hint="eastAsia" w:ascii="仿宋_GB2312" w:eastAsia="仿宋_GB2312"/>
          <w:b w:val="0"/>
          <w:kern w:val="21"/>
          <w:sz w:val="32"/>
          <w:szCs w:val="32"/>
          <w:lang w:val="en-US" w:eastAsia="zh-CN"/>
        </w:rPr>
        <w:t>本年</w:t>
      </w:r>
      <w:r>
        <w:rPr>
          <w:rFonts w:hint="eastAsia" w:ascii="仿宋_GB2312" w:eastAsia="仿宋_GB2312"/>
          <w:b w:val="0"/>
          <w:kern w:val="21"/>
          <w:sz w:val="32"/>
          <w:szCs w:val="32"/>
          <w:lang w:eastAsia="zh-CN"/>
        </w:rPr>
        <w:t>基本养老保险缴费基数</w:t>
      </w:r>
      <w:r>
        <w:rPr>
          <w:rFonts w:hint="eastAsia" w:ascii="仿宋_GB2312" w:eastAsia="仿宋_GB2312"/>
          <w:b w:val="0"/>
          <w:kern w:val="21"/>
          <w:sz w:val="32"/>
          <w:szCs w:val="32"/>
          <w:lang w:val="en-US" w:eastAsia="zh-CN"/>
        </w:rPr>
        <w:t>调减，导致基本</w:t>
      </w:r>
      <w:r>
        <w:rPr>
          <w:rFonts w:ascii="仿宋_GB2312" w:eastAsia="仿宋_GB2312"/>
          <w:b w:val="0"/>
          <w:kern w:val="21"/>
          <w:sz w:val="32"/>
          <w:szCs w:val="32"/>
        </w:rPr>
        <w:t>养老保险缴费支出</w:t>
      </w:r>
      <w:r>
        <w:rPr>
          <w:rFonts w:hint="eastAsia" w:ascii="仿宋_GB2312" w:eastAsia="仿宋_GB2312"/>
          <w:b w:val="0"/>
          <w:kern w:val="21"/>
          <w:sz w:val="32"/>
          <w:szCs w:val="32"/>
          <w:lang w:val="en-US" w:eastAsia="zh-CN"/>
        </w:rPr>
        <w:t>减少</w:t>
      </w:r>
      <w:r>
        <w:rPr>
          <w:rFonts w:hint="eastAsia" w:ascii="仿宋_GB2312" w:eastAsia="仿宋_GB2312"/>
          <w:b w:val="0"/>
          <w:kern w:val="21"/>
          <w:sz w:val="32"/>
          <w:szCs w:val="32"/>
          <w:lang w:eastAsia="zh-CN"/>
        </w:rPr>
        <w:t>。</w:t>
      </w:r>
    </w:p>
    <w:p w14:paraId="77D66C73">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卫生健康支出（类）行政事业单位医疗（款）事业单位医疗（项）：支出决算数为3.77万元，比上年决算减少0.31万元，下降7.60%，主要原因是：</w:t>
      </w:r>
      <w:r>
        <w:rPr>
          <w:rFonts w:hint="eastAsia" w:ascii="仿宋_GB2312" w:eastAsia="仿宋_GB2312"/>
          <w:b w:val="0"/>
          <w:kern w:val="21"/>
          <w:sz w:val="32"/>
          <w:szCs w:val="32"/>
          <w:lang w:eastAsia="zh-CN"/>
        </w:rPr>
        <w:t>本年</w:t>
      </w:r>
      <w:r>
        <w:rPr>
          <w:rFonts w:hint="eastAsia" w:ascii="仿宋_GB2312" w:eastAsia="仿宋_GB2312"/>
          <w:b w:val="0"/>
          <w:kern w:val="21"/>
          <w:sz w:val="32"/>
          <w:szCs w:val="32"/>
          <w:lang w:val="en-US" w:eastAsia="zh-CN"/>
        </w:rPr>
        <w:t>事业单位医疗保险</w:t>
      </w:r>
      <w:r>
        <w:rPr>
          <w:rFonts w:hint="eastAsia" w:ascii="仿宋_GB2312" w:eastAsia="仿宋_GB2312"/>
          <w:b w:val="0"/>
          <w:kern w:val="21"/>
          <w:sz w:val="32"/>
          <w:szCs w:val="32"/>
          <w:lang w:eastAsia="zh-CN"/>
        </w:rPr>
        <w:t>缴费</w:t>
      </w:r>
      <w:r>
        <w:rPr>
          <w:rFonts w:hint="eastAsia" w:ascii="仿宋_GB2312" w:eastAsia="仿宋_GB2312"/>
          <w:b w:val="0"/>
          <w:kern w:val="21"/>
          <w:sz w:val="32"/>
          <w:szCs w:val="32"/>
          <w:lang w:val="en-US" w:eastAsia="zh-CN"/>
        </w:rPr>
        <w:t>基数调减，导致</w:t>
      </w:r>
      <w:r>
        <w:rPr>
          <w:rFonts w:ascii="仿宋_GB2312" w:eastAsia="仿宋_GB2312"/>
          <w:b w:val="0"/>
          <w:kern w:val="21"/>
          <w:sz w:val="32"/>
          <w:szCs w:val="32"/>
        </w:rPr>
        <w:t>事业单位医疗支出</w:t>
      </w:r>
      <w:r>
        <w:rPr>
          <w:rFonts w:hint="eastAsia" w:ascii="仿宋_GB2312" w:eastAsia="仿宋_GB2312"/>
          <w:b w:val="0"/>
          <w:kern w:val="21"/>
          <w:sz w:val="32"/>
          <w:szCs w:val="32"/>
          <w:lang w:val="en-US" w:eastAsia="zh-CN"/>
        </w:rPr>
        <w:t>减少</w:t>
      </w:r>
      <w:r>
        <w:rPr>
          <w:rFonts w:hint="eastAsia" w:ascii="仿宋_GB2312" w:eastAsia="仿宋_GB2312"/>
          <w:b w:val="0"/>
          <w:kern w:val="21"/>
          <w:sz w:val="32"/>
          <w:szCs w:val="32"/>
          <w:lang w:eastAsia="zh-CN"/>
        </w:rPr>
        <w:t>。</w:t>
      </w:r>
    </w:p>
    <w:p w14:paraId="1848471D">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卫生健康支出（类）行政事业单位医疗（款）公务员医疗补助（项）：支出决算数为3.44万元，比上年决算减少0.37万元，下降9.71%，主要原因是：</w:t>
      </w:r>
      <w:r>
        <w:rPr>
          <w:rFonts w:hint="eastAsia" w:ascii="仿宋_GB2312" w:eastAsia="仿宋_GB2312"/>
          <w:b w:val="0"/>
          <w:kern w:val="21"/>
          <w:sz w:val="32"/>
          <w:szCs w:val="32"/>
          <w:lang w:eastAsia="zh-CN"/>
        </w:rPr>
        <w:t>本年</w:t>
      </w:r>
      <w:r>
        <w:rPr>
          <w:rFonts w:hint="eastAsia" w:ascii="仿宋_GB2312" w:eastAsia="仿宋_GB2312"/>
          <w:b w:val="0"/>
          <w:kern w:val="21"/>
          <w:sz w:val="32"/>
          <w:szCs w:val="32"/>
          <w:lang w:val="en-US" w:eastAsia="zh-CN"/>
        </w:rPr>
        <w:t>公务员医疗补助</w:t>
      </w:r>
      <w:bookmarkStart w:id="0" w:name="_GoBack"/>
      <w:bookmarkEnd w:id="0"/>
      <w:r>
        <w:rPr>
          <w:rFonts w:hint="eastAsia" w:ascii="仿宋_GB2312" w:eastAsia="仿宋_GB2312"/>
          <w:b w:val="0"/>
          <w:kern w:val="21"/>
          <w:sz w:val="32"/>
          <w:szCs w:val="32"/>
          <w:lang w:eastAsia="zh-CN"/>
        </w:rPr>
        <w:t>缴费</w:t>
      </w:r>
      <w:r>
        <w:rPr>
          <w:rFonts w:hint="eastAsia" w:ascii="仿宋_GB2312" w:eastAsia="仿宋_GB2312"/>
          <w:b w:val="0"/>
          <w:kern w:val="21"/>
          <w:sz w:val="32"/>
          <w:szCs w:val="32"/>
          <w:lang w:val="en-US" w:eastAsia="zh-CN"/>
        </w:rPr>
        <w:t>基数调减，导致</w:t>
      </w:r>
      <w:r>
        <w:rPr>
          <w:rFonts w:ascii="仿宋_GB2312" w:eastAsia="仿宋_GB2312"/>
          <w:b w:val="0"/>
          <w:kern w:val="21"/>
          <w:sz w:val="32"/>
          <w:szCs w:val="32"/>
        </w:rPr>
        <w:t>公务员医疗补助支出</w:t>
      </w:r>
      <w:r>
        <w:rPr>
          <w:rFonts w:hint="eastAsia" w:ascii="仿宋_GB2312" w:eastAsia="仿宋_GB2312"/>
          <w:b w:val="0"/>
          <w:kern w:val="21"/>
          <w:sz w:val="32"/>
          <w:szCs w:val="32"/>
          <w:lang w:val="en-US" w:eastAsia="zh-CN"/>
        </w:rPr>
        <w:t>减少</w:t>
      </w:r>
      <w:r>
        <w:rPr>
          <w:rFonts w:hint="eastAsia" w:ascii="仿宋_GB2312" w:eastAsia="仿宋_GB2312"/>
          <w:b w:val="0"/>
          <w:kern w:val="21"/>
          <w:sz w:val="32"/>
          <w:szCs w:val="32"/>
          <w:lang w:eastAsia="zh-CN"/>
        </w:rPr>
        <w:t>。</w:t>
      </w:r>
    </w:p>
    <w:p w14:paraId="6CDCFEE4">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住房保障支出（类）住房改革支出（款）住房公积金（项）：支出决算数为6.04万元，比上年决算减少0.49万元，下降7.50%，主要原因是：</w:t>
      </w:r>
      <w:r>
        <w:rPr>
          <w:rFonts w:hint="eastAsia" w:ascii="仿宋_GB2312" w:eastAsia="仿宋_GB2312"/>
          <w:b w:val="0"/>
          <w:kern w:val="21"/>
          <w:sz w:val="32"/>
          <w:szCs w:val="32"/>
          <w:lang w:eastAsia="zh-CN"/>
        </w:rPr>
        <w:t>本年</w:t>
      </w:r>
      <w:r>
        <w:rPr>
          <w:rFonts w:hint="eastAsia" w:ascii="仿宋_GB2312" w:eastAsia="仿宋_GB2312"/>
          <w:b w:val="0"/>
          <w:kern w:val="21"/>
          <w:sz w:val="32"/>
          <w:szCs w:val="32"/>
          <w:lang w:val="en-US" w:eastAsia="zh-CN"/>
        </w:rPr>
        <w:t>住房公积金基数调减，导致</w:t>
      </w:r>
      <w:r>
        <w:rPr>
          <w:rFonts w:ascii="仿宋_GB2312" w:eastAsia="仿宋_GB2312"/>
          <w:b w:val="0"/>
          <w:kern w:val="21"/>
          <w:sz w:val="32"/>
          <w:szCs w:val="32"/>
        </w:rPr>
        <w:t>住房公积金支出</w:t>
      </w:r>
      <w:r>
        <w:rPr>
          <w:rFonts w:hint="eastAsia" w:ascii="仿宋_GB2312" w:eastAsia="仿宋_GB2312"/>
          <w:b w:val="0"/>
          <w:kern w:val="21"/>
          <w:sz w:val="32"/>
          <w:szCs w:val="32"/>
          <w:lang w:val="en-US" w:eastAsia="zh-CN"/>
        </w:rPr>
        <w:t>减少</w:t>
      </w:r>
      <w:r>
        <w:rPr>
          <w:rFonts w:hint="eastAsia" w:ascii="仿宋_GB2312" w:eastAsia="仿宋_GB2312"/>
          <w:b w:val="0"/>
          <w:kern w:val="21"/>
          <w:sz w:val="32"/>
          <w:szCs w:val="32"/>
          <w:lang w:eastAsia="zh-CN"/>
        </w:rPr>
        <w:t>。</w:t>
      </w:r>
    </w:p>
    <w:p w14:paraId="7AA0CCE4">
      <w:pPr>
        <w:keepNext w:val="0"/>
        <w:keepLines w:val="0"/>
        <w:pageBreakBefore w:val="0"/>
        <w:widowControl w:val="0"/>
        <w:numPr>
          <w:ilvl w:val="0"/>
          <w:numId w:val="1"/>
        </w:numPr>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粮油物资储备支出（类）粮油物资事务（款）其他粮油物资事务支出（项）：支出决算数为504.84万元，比上年决算减少701.95万元，下降58.17%，主要原因是：</w:t>
      </w:r>
      <w:r>
        <w:rPr>
          <w:rFonts w:hint="eastAsia" w:ascii="仿宋_GB2312" w:eastAsia="仿宋_GB2312"/>
          <w:b w:val="0"/>
          <w:kern w:val="21"/>
          <w:sz w:val="32"/>
          <w:szCs w:val="32"/>
        </w:rPr>
        <w:t>本年</w:t>
      </w:r>
      <w:r>
        <w:rPr>
          <w:rFonts w:hint="eastAsia" w:ascii="仿宋_GB2312" w:eastAsia="仿宋_GB2312"/>
          <w:b w:val="0"/>
          <w:kern w:val="21"/>
          <w:sz w:val="32"/>
          <w:szCs w:val="32"/>
          <w:lang w:val="en-US" w:eastAsia="zh-CN"/>
        </w:rPr>
        <w:t>减少自治区粮食购销领域监管信息化省级平台优化升级项目</w:t>
      </w:r>
      <w:r>
        <w:rPr>
          <w:rFonts w:hint="eastAsia" w:ascii="仿宋_GB2312" w:eastAsia="仿宋_GB2312"/>
          <w:b w:val="0"/>
          <w:kern w:val="21"/>
          <w:sz w:val="32"/>
          <w:szCs w:val="32"/>
          <w:lang w:eastAsia="zh-CN"/>
        </w:rPr>
        <w:t>。</w:t>
      </w:r>
    </w:p>
    <w:p w14:paraId="587E4B3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六、一般公共预算财政拨款基本支出决算情况说明</w:t>
      </w:r>
    </w:p>
    <w:p w14:paraId="0097677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一般公共预算财政拨款基本支出83.95万元，其中：人员经费78.09万元，包括：基本工资、津贴补贴、奖金、绩效工资、机关事业单位基本养老保险缴费、职工基本医疗保险缴费、公务员医疗补助缴费、其他社会保障缴费和住房公积金。</w:t>
      </w:r>
    </w:p>
    <w:p w14:paraId="24A0BBD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公用经费5.86万元，包括：办公费、电费、邮电费、差旅费、工会经费和福利费。</w:t>
      </w:r>
    </w:p>
    <w:p w14:paraId="7F8DE436">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七、政府性基金预算财政拨款收入支出决算情况说明</w:t>
      </w:r>
    </w:p>
    <w:p w14:paraId="569EC8B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本单位本年度无政府性基金预算财政拨款收入支出及结转和结余政府性基金预算财政拨款收入支出决算表为空表。</w:t>
      </w:r>
    </w:p>
    <w:p w14:paraId="3CEC917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八、国有资本经营预算财政拨款收入支出决算情况说明</w:t>
      </w:r>
    </w:p>
    <w:p w14:paraId="28453F7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本单位本年度无国有资本经营预算财政拨款收入、支出及结转和结余，国有资本经营预算财政拨款收入支出决算表为空表。</w:t>
      </w:r>
    </w:p>
    <w:p w14:paraId="2CD909C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九、财政拨款</w:t>
      </w:r>
      <w:r>
        <w:rPr>
          <w:rFonts w:hint="eastAsia" w:ascii="黑体" w:eastAsia="黑体"/>
          <w:b w:val="0"/>
          <w:kern w:val="21"/>
          <w:sz w:val="32"/>
          <w:szCs w:val="32"/>
          <w:lang w:eastAsia="zh-CN"/>
        </w:rPr>
        <w:t>“</w:t>
      </w:r>
      <w:r>
        <w:rPr>
          <w:rFonts w:ascii="黑体" w:eastAsia="黑体"/>
          <w:b w:val="0"/>
          <w:kern w:val="21"/>
          <w:sz w:val="32"/>
          <w:szCs w:val="32"/>
        </w:rPr>
        <w:t>三公</w:t>
      </w:r>
      <w:r>
        <w:rPr>
          <w:rFonts w:hint="eastAsia" w:ascii="黑体" w:eastAsia="黑体"/>
          <w:b w:val="0"/>
          <w:kern w:val="21"/>
          <w:sz w:val="32"/>
          <w:szCs w:val="32"/>
          <w:lang w:eastAsia="zh-CN"/>
        </w:rPr>
        <w:t>”</w:t>
      </w:r>
      <w:r>
        <w:rPr>
          <w:rFonts w:ascii="黑体" w:eastAsia="黑体"/>
          <w:b w:val="0"/>
          <w:kern w:val="21"/>
          <w:sz w:val="32"/>
          <w:szCs w:val="32"/>
        </w:rPr>
        <w:t>经费支出决算情况说明</w:t>
      </w:r>
    </w:p>
    <w:p w14:paraId="3FCFE13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经费支出0.00万元，</w:t>
      </w:r>
      <w:r>
        <w:rPr>
          <w:rFonts w:hint="eastAsia" w:ascii="仿宋_GB2312" w:eastAsia="仿宋_GB2312"/>
          <w:b w:val="0"/>
          <w:kern w:val="21"/>
          <w:sz w:val="32"/>
          <w:szCs w:val="32"/>
          <w:lang w:eastAsia="zh-CN"/>
        </w:rPr>
        <w:t>比上年增加</w:t>
      </w:r>
      <w:r>
        <w:rPr>
          <w:rFonts w:hint="eastAsia" w:ascii="仿宋_GB2312" w:eastAsia="仿宋_GB2312"/>
          <w:b w:val="0"/>
          <w:kern w:val="21"/>
          <w:sz w:val="32"/>
          <w:szCs w:val="32"/>
          <w:lang w:val="en-US" w:eastAsia="zh-CN"/>
        </w:rPr>
        <w:t>0.00%，增长0.00%</w:t>
      </w:r>
      <w:r>
        <w:rPr>
          <w:rFonts w:ascii="仿宋_GB2312" w:eastAsia="仿宋_GB2312"/>
          <w:b w:val="0"/>
          <w:kern w:val="21"/>
          <w:sz w:val="32"/>
          <w:szCs w:val="32"/>
        </w:rPr>
        <w:t>，主要原因是：</w:t>
      </w:r>
      <w:r>
        <w:rPr>
          <w:rFonts w:hint="eastAsia" w:ascii="仿宋_GB2312" w:eastAsia="仿宋_GB2312"/>
          <w:b w:val="0"/>
          <w:kern w:val="21"/>
          <w:sz w:val="32"/>
          <w:szCs w:val="32"/>
          <w:lang w:val="en-US" w:eastAsia="zh-CN"/>
        </w:rPr>
        <w:t>2023年、2024年均未安排</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经费支出。其中：因公出国（境）费支出0.00万元,占0.00%，</w:t>
      </w:r>
      <w:r>
        <w:rPr>
          <w:rFonts w:hint="eastAsia" w:ascii="仿宋_GB2312" w:eastAsia="仿宋_GB2312"/>
          <w:b w:val="0"/>
          <w:kern w:val="21"/>
          <w:sz w:val="32"/>
          <w:szCs w:val="32"/>
          <w:lang w:eastAsia="zh-CN"/>
        </w:rPr>
        <w:t>比上年增加</w:t>
      </w:r>
      <w:r>
        <w:rPr>
          <w:rFonts w:hint="eastAsia" w:ascii="仿宋_GB2312" w:eastAsia="仿宋_GB2312"/>
          <w:b w:val="0"/>
          <w:kern w:val="21"/>
          <w:sz w:val="32"/>
          <w:szCs w:val="32"/>
          <w:lang w:val="en-US" w:eastAsia="zh-CN"/>
        </w:rPr>
        <w:t>0.00%，增长0.00%</w:t>
      </w:r>
      <w:r>
        <w:rPr>
          <w:rFonts w:ascii="仿宋_GB2312" w:eastAsia="仿宋_GB2312"/>
          <w:b w:val="0"/>
          <w:kern w:val="21"/>
          <w:sz w:val="32"/>
          <w:szCs w:val="32"/>
        </w:rPr>
        <w:t>，主要原因是：</w:t>
      </w:r>
      <w:r>
        <w:rPr>
          <w:rFonts w:hint="eastAsia" w:ascii="仿宋_GB2312" w:eastAsia="仿宋_GB2312"/>
          <w:b w:val="0"/>
          <w:kern w:val="21"/>
          <w:sz w:val="32"/>
          <w:szCs w:val="32"/>
          <w:lang w:val="en-US" w:eastAsia="zh-CN"/>
        </w:rPr>
        <w:t>2023年、2024年均未安排</w:t>
      </w:r>
      <w:r>
        <w:rPr>
          <w:rFonts w:ascii="仿宋_GB2312" w:eastAsia="仿宋_GB2312"/>
          <w:b w:val="0"/>
          <w:kern w:val="21"/>
          <w:sz w:val="32"/>
          <w:szCs w:val="32"/>
        </w:rPr>
        <w:t>因公出国（境）费；公务用车购置及运行维护费支出0.00万元，占0.00%，</w:t>
      </w:r>
      <w:r>
        <w:rPr>
          <w:rFonts w:hint="eastAsia" w:ascii="仿宋_GB2312" w:eastAsia="仿宋_GB2312"/>
          <w:b w:val="0"/>
          <w:kern w:val="21"/>
          <w:sz w:val="32"/>
          <w:szCs w:val="32"/>
          <w:lang w:eastAsia="zh-CN"/>
        </w:rPr>
        <w:t>比上年增加</w:t>
      </w:r>
      <w:r>
        <w:rPr>
          <w:rFonts w:hint="eastAsia" w:ascii="仿宋_GB2312" w:eastAsia="仿宋_GB2312"/>
          <w:b w:val="0"/>
          <w:kern w:val="21"/>
          <w:sz w:val="32"/>
          <w:szCs w:val="32"/>
          <w:lang w:val="en-US" w:eastAsia="zh-CN"/>
        </w:rPr>
        <w:t>0.00%，增长0.00%</w:t>
      </w:r>
      <w:r>
        <w:rPr>
          <w:rFonts w:ascii="仿宋_GB2312" w:eastAsia="仿宋_GB2312"/>
          <w:b w:val="0"/>
          <w:kern w:val="21"/>
          <w:sz w:val="32"/>
          <w:szCs w:val="32"/>
        </w:rPr>
        <w:t>，主要原因是：</w:t>
      </w:r>
      <w:r>
        <w:rPr>
          <w:rFonts w:hint="eastAsia" w:ascii="仿宋_GB2312" w:eastAsia="仿宋_GB2312"/>
          <w:b w:val="0"/>
          <w:kern w:val="21"/>
          <w:sz w:val="32"/>
          <w:szCs w:val="32"/>
          <w:lang w:val="en-US" w:eastAsia="zh-CN"/>
        </w:rPr>
        <w:t>2023年、2024年均未安排车辆</w:t>
      </w:r>
      <w:r>
        <w:rPr>
          <w:rFonts w:ascii="仿宋_GB2312" w:eastAsia="仿宋_GB2312"/>
          <w:b w:val="0"/>
          <w:kern w:val="21"/>
          <w:sz w:val="32"/>
          <w:szCs w:val="32"/>
        </w:rPr>
        <w:t>运行维护费；公务接待费支出0.00万元，占0.00%，</w:t>
      </w:r>
      <w:r>
        <w:rPr>
          <w:rFonts w:hint="eastAsia" w:ascii="仿宋_GB2312" w:eastAsia="仿宋_GB2312"/>
          <w:b w:val="0"/>
          <w:kern w:val="21"/>
          <w:sz w:val="32"/>
          <w:szCs w:val="32"/>
          <w:lang w:eastAsia="zh-CN"/>
        </w:rPr>
        <w:t>比上年增加</w:t>
      </w:r>
      <w:r>
        <w:rPr>
          <w:rFonts w:hint="eastAsia" w:ascii="仿宋_GB2312" w:eastAsia="仿宋_GB2312"/>
          <w:b w:val="0"/>
          <w:kern w:val="21"/>
          <w:sz w:val="32"/>
          <w:szCs w:val="32"/>
          <w:lang w:val="en-US" w:eastAsia="zh-CN"/>
        </w:rPr>
        <w:t>0.00%，增长0.00%</w:t>
      </w:r>
      <w:r>
        <w:rPr>
          <w:rFonts w:ascii="仿宋_GB2312" w:eastAsia="仿宋_GB2312"/>
          <w:b w:val="0"/>
          <w:kern w:val="21"/>
          <w:sz w:val="32"/>
          <w:szCs w:val="32"/>
        </w:rPr>
        <w:t>，主要原因是：</w:t>
      </w:r>
      <w:r>
        <w:rPr>
          <w:rFonts w:hint="eastAsia" w:ascii="仿宋_GB2312" w:eastAsia="仿宋_GB2312"/>
          <w:b w:val="0"/>
          <w:kern w:val="21"/>
          <w:sz w:val="32"/>
          <w:szCs w:val="32"/>
          <w:lang w:val="en-US" w:eastAsia="zh-CN"/>
        </w:rPr>
        <w:t>2023年、2024年均未安排公务接待</w:t>
      </w:r>
      <w:r>
        <w:rPr>
          <w:rFonts w:ascii="仿宋_GB2312" w:eastAsia="仿宋_GB2312"/>
          <w:b w:val="0"/>
          <w:kern w:val="21"/>
          <w:sz w:val="32"/>
          <w:szCs w:val="32"/>
        </w:rPr>
        <w:t>。</w:t>
      </w:r>
    </w:p>
    <w:p w14:paraId="48B1CC9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具体情况如下：</w:t>
      </w:r>
    </w:p>
    <w:p w14:paraId="117D585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因公出国（境）费支出0.00万元，开支内容包括</w:t>
      </w:r>
      <w:r>
        <w:rPr>
          <w:rFonts w:hint="eastAsia" w:ascii="仿宋_GB2312" w:eastAsia="仿宋_GB2312"/>
          <w:b w:val="0"/>
          <w:kern w:val="21"/>
          <w:sz w:val="32"/>
          <w:szCs w:val="32"/>
          <w:lang w:eastAsia="zh-CN"/>
        </w:rPr>
        <w:t>无</w:t>
      </w:r>
      <w:r>
        <w:rPr>
          <w:rFonts w:ascii="仿宋_GB2312" w:eastAsia="仿宋_GB2312"/>
          <w:b w:val="0"/>
          <w:kern w:val="21"/>
          <w:sz w:val="32"/>
          <w:szCs w:val="32"/>
        </w:rPr>
        <w:t>因公出国（境）</w:t>
      </w:r>
      <w:r>
        <w:rPr>
          <w:rFonts w:hint="eastAsia" w:ascii="仿宋_GB2312" w:eastAsia="仿宋_GB2312"/>
          <w:b w:val="0"/>
          <w:kern w:val="21"/>
          <w:sz w:val="32"/>
          <w:szCs w:val="32"/>
          <w:lang w:eastAsia="zh-CN"/>
        </w:rPr>
        <w:t>业务</w:t>
      </w:r>
      <w:r>
        <w:rPr>
          <w:rFonts w:ascii="仿宋_GB2312" w:eastAsia="仿宋_GB2312"/>
          <w:b w:val="0"/>
          <w:kern w:val="21"/>
          <w:sz w:val="32"/>
          <w:szCs w:val="32"/>
        </w:rPr>
        <w:t>。单位全年安排的因公出国（境）团组0个，因公出国（境）0人次。</w:t>
      </w:r>
    </w:p>
    <w:p w14:paraId="69EEC9D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kern w:val="21"/>
          <w:sz w:val="32"/>
          <w:szCs w:val="32"/>
          <w:lang w:val="en-US" w:eastAsia="zh-CN"/>
        </w:rPr>
        <w:t>本年</w:t>
      </w:r>
      <w:r>
        <w:rPr>
          <w:rFonts w:hint="eastAsia" w:ascii="仿宋_GB2312" w:eastAsia="仿宋_GB2312"/>
          <w:b w:val="0"/>
          <w:kern w:val="21"/>
          <w:sz w:val="32"/>
          <w:szCs w:val="32"/>
          <w:lang w:eastAsia="zh-CN"/>
        </w:rPr>
        <w:t>无</w:t>
      </w:r>
      <w:r>
        <w:rPr>
          <w:rFonts w:ascii="仿宋_GB2312" w:eastAsia="仿宋_GB2312"/>
          <w:b w:val="0"/>
          <w:kern w:val="21"/>
          <w:sz w:val="32"/>
          <w:szCs w:val="32"/>
        </w:rPr>
        <w:t>公务用车运行维护费开支。公务用车购置数0辆，公务用车保有量0辆。国有资产占用情况中固定资产车辆0辆，与公务用车保有量差异原因是：</w:t>
      </w:r>
      <w:r>
        <w:rPr>
          <w:rFonts w:hint="eastAsia" w:ascii="仿宋_GB2312" w:eastAsia="仿宋_GB2312"/>
          <w:b w:val="0"/>
          <w:kern w:val="21"/>
          <w:sz w:val="32"/>
          <w:szCs w:val="32"/>
          <w:lang w:val="en-US" w:eastAsia="zh-CN"/>
        </w:rPr>
        <w:t>本单位无固定资产车辆</w:t>
      </w:r>
      <w:r>
        <w:rPr>
          <w:rFonts w:ascii="仿宋_GB2312" w:eastAsia="仿宋_GB2312"/>
          <w:b w:val="0"/>
          <w:kern w:val="21"/>
          <w:sz w:val="32"/>
          <w:szCs w:val="32"/>
        </w:rPr>
        <w:t>。</w:t>
      </w:r>
    </w:p>
    <w:p w14:paraId="3E8CA64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公务接待费0.00万元，开支内容包括</w:t>
      </w:r>
      <w:r>
        <w:rPr>
          <w:rFonts w:hint="eastAsia" w:ascii="仿宋_GB2312" w:eastAsia="仿宋_GB2312"/>
          <w:b w:val="0"/>
          <w:kern w:val="21"/>
          <w:sz w:val="32"/>
          <w:szCs w:val="32"/>
          <w:lang w:eastAsia="zh-CN"/>
        </w:rPr>
        <w:t>无公务接待</w:t>
      </w:r>
      <w:r>
        <w:rPr>
          <w:rFonts w:ascii="仿宋_GB2312" w:eastAsia="仿宋_GB2312"/>
          <w:b w:val="0"/>
          <w:kern w:val="21"/>
          <w:sz w:val="32"/>
          <w:szCs w:val="32"/>
        </w:rPr>
        <w:t>。单位全年安排的国内公务接待0批次，0人次。</w:t>
      </w:r>
    </w:p>
    <w:p w14:paraId="1EB3300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与全年预算相比，财政拨款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经费支出全年预算数0.00万元，决算数0.00万元，预决算差异率0.00%，主要原因是：</w:t>
      </w:r>
      <w:r>
        <w:rPr>
          <w:rFonts w:hint="eastAsia" w:ascii="仿宋_GB2312" w:eastAsia="仿宋_GB2312"/>
          <w:b w:val="0"/>
          <w:kern w:val="21"/>
          <w:sz w:val="32"/>
          <w:szCs w:val="32"/>
        </w:rPr>
        <w:t>本单位无</w:t>
      </w:r>
      <w:r>
        <w:rPr>
          <w:rFonts w:ascii="仿宋_GB2312" w:eastAsia="仿宋_GB2312"/>
          <w:b w:val="0"/>
          <w:kern w:val="21"/>
          <w:sz w:val="32"/>
          <w:szCs w:val="32"/>
        </w:rPr>
        <w:t>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经费。其中：因公出国（境）费全年预算数0.00万元，决算数0.00万元，预决算差异率0.00%，主要原因是：</w:t>
      </w:r>
      <w:r>
        <w:rPr>
          <w:rFonts w:hint="eastAsia" w:ascii="仿宋_GB2312" w:eastAsia="仿宋_GB2312"/>
          <w:b w:val="0"/>
          <w:kern w:val="21"/>
          <w:sz w:val="32"/>
          <w:szCs w:val="32"/>
        </w:rPr>
        <w:t>本单位无因公出国（境）费</w:t>
      </w:r>
      <w:r>
        <w:rPr>
          <w:rFonts w:ascii="仿宋_GB2312" w:eastAsia="仿宋_GB2312"/>
          <w:b w:val="0"/>
          <w:kern w:val="21"/>
          <w:sz w:val="32"/>
          <w:szCs w:val="32"/>
        </w:rPr>
        <w:t>。公务用车购置费全年预算数0.00万元，决算数0.00万元，预决算差异率0.00%，主要原因是：</w:t>
      </w:r>
      <w:r>
        <w:rPr>
          <w:rFonts w:hint="eastAsia" w:ascii="仿宋_GB2312" w:eastAsia="仿宋_GB2312"/>
          <w:b w:val="0"/>
          <w:kern w:val="21"/>
          <w:sz w:val="32"/>
          <w:szCs w:val="32"/>
        </w:rPr>
        <w:t>本单位无公务用车购置费</w:t>
      </w:r>
      <w:r>
        <w:rPr>
          <w:rFonts w:ascii="仿宋_GB2312" w:eastAsia="仿宋_GB2312"/>
          <w:b w:val="0"/>
          <w:kern w:val="21"/>
          <w:sz w:val="32"/>
          <w:szCs w:val="32"/>
        </w:rPr>
        <w:t>。公务用车运行维护费全年预算数0.00万元，决算数0.00万元，预决算差异率0.00%，主要原因是：</w:t>
      </w:r>
      <w:r>
        <w:rPr>
          <w:rFonts w:hint="eastAsia" w:ascii="仿宋_GB2312" w:eastAsia="仿宋_GB2312"/>
          <w:b w:val="0"/>
          <w:kern w:val="21"/>
          <w:sz w:val="32"/>
          <w:szCs w:val="32"/>
        </w:rPr>
        <w:t>本单位无</w:t>
      </w:r>
      <w:r>
        <w:rPr>
          <w:rFonts w:ascii="仿宋_GB2312" w:eastAsia="仿宋_GB2312"/>
          <w:b w:val="0"/>
          <w:kern w:val="21"/>
          <w:sz w:val="32"/>
          <w:szCs w:val="32"/>
        </w:rPr>
        <w:t>公务用车运行维护费。公务接待费全年预算数0.00万元，决算数0.00万元，预决算差异率0.00%，主要原因是：</w:t>
      </w:r>
      <w:r>
        <w:rPr>
          <w:rFonts w:hint="eastAsia" w:ascii="仿宋_GB2312" w:eastAsia="仿宋_GB2312"/>
          <w:b w:val="0"/>
          <w:kern w:val="21"/>
          <w:sz w:val="32"/>
          <w:szCs w:val="32"/>
        </w:rPr>
        <w:t>本单位无</w:t>
      </w:r>
      <w:r>
        <w:rPr>
          <w:rFonts w:ascii="仿宋_GB2312" w:eastAsia="仿宋_GB2312"/>
          <w:b w:val="0"/>
          <w:kern w:val="21"/>
          <w:sz w:val="32"/>
          <w:szCs w:val="32"/>
        </w:rPr>
        <w:t>公务接待费。</w:t>
      </w:r>
    </w:p>
    <w:p w14:paraId="09A1355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十、其他重要事项的情况说明</w:t>
      </w:r>
    </w:p>
    <w:p w14:paraId="0012F469">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（一）机关运行经费及公用经费支出情况</w:t>
      </w:r>
    </w:p>
    <w:p w14:paraId="5F6366F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2024年度新疆维吾尔自治区粮食和物资储备局信息中心</w:t>
      </w:r>
      <w:r>
        <w:rPr>
          <w:rFonts w:hint="eastAsia" w:ascii="仿宋_GB2312" w:eastAsia="仿宋_GB2312"/>
          <w:b w:val="0"/>
          <w:kern w:val="21"/>
          <w:sz w:val="32"/>
          <w:szCs w:val="32"/>
          <w:lang w:eastAsia="zh-CN"/>
        </w:rPr>
        <w:t>（</w:t>
      </w:r>
      <w:r>
        <w:rPr>
          <w:rFonts w:hint="eastAsia" w:ascii="仿宋_GB2312" w:eastAsia="仿宋_GB2312"/>
          <w:b w:val="0"/>
          <w:kern w:val="21"/>
          <w:sz w:val="32"/>
          <w:szCs w:val="32"/>
          <w:lang w:val="en-US" w:eastAsia="zh-CN"/>
        </w:rPr>
        <w:t>事业单位</w:t>
      </w:r>
      <w:r>
        <w:rPr>
          <w:rFonts w:hint="eastAsia" w:ascii="仿宋_GB2312" w:eastAsia="仿宋_GB2312"/>
          <w:b w:val="0"/>
          <w:kern w:val="21"/>
          <w:sz w:val="32"/>
          <w:szCs w:val="32"/>
          <w:lang w:eastAsia="zh-CN"/>
        </w:rPr>
        <w:t>）</w:t>
      </w:r>
      <w:r>
        <w:rPr>
          <w:rFonts w:ascii="仿宋_GB2312" w:eastAsia="仿宋_GB2312"/>
          <w:b w:val="0"/>
          <w:kern w:val="21"/>
          <w:sz w:val="32"/>
          <w:szCs w:val="32"/>
        </w:rPr>
        <w:t>公用经费支出5.86万元，比上年减少1.08万元，下降15.56%，主要原因是：</w:t>
      </w:r>
      <w:r>
        <w:rPr>
          <w:rFonts w:hint="eastAsia" w:ascii="仿宋_GB2312" w:eastAsia="仿宋_GB2312"/>
          <w:b w:val="0"/>
          <w:kern w:val="21"/>
          <w:sz w:val="32"/>
          <w:szCs w:val="32"/>
          <w:lang w:eastAsia="zh-CN"/>
        </w:rPr>
        <w:t>厉行节约，减少办公费、差旅费等支出</w:t>
      </w:r>
      <w:r>
        <w:rPr>
          <w:rFonts w:ascii="仿宋_GB2312" w:eastAsia="仿宋_GB2312"/>
          <w:b w:val="0"/>
          <w:kern w:val="21"/>
          <w:sz w:val="32"/>
          <w:szCs w:val="32"/>
        </w:rPr>
        <w:t>。</w:t>
      </w:r>
    </w:p>
    <w:p w14:paraId="0CE96A7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（二）政府采购情况</w:t>
      </w:r>
    </w:p>
    <w:p w14:paraId="7BAD5FF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2024年度政府采购支出总额406.30万元，其中：政府采购货物支出16.00万元、政府采购工程支出0.00万元、政府采购服务支出390.30万元。</w:t>
      </w:r>
    </w:p>
    <w:p w14:paraId="5A43F7A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授予中小企业合同金额406.30万元，占政府采购支出总额的100.00%，其中</w:t>
      </w:r>
      <w:r>
        <w:rPr>
          <w:rFonts w:hint="eastAsia" w:ascii="仿宋_GB2312" w:eastAsia="仿宋_GB2312"/>
          <w:b w:val="0"/>
          <w:kern w:val="21"/>
          <w:sz w:val="32"/>
          <w:szCs w:val="32"/>
          <w:lang w:eastAsia="zh-CN"/>
        </w:rPr>
        <w:t>：</w:t>
      </w:r>
      <w:r>
        <w:rPr>
          <w:rFonts w:ascii="仿宋_GB2312" w:eastAsia="仿宋_GB2312"/>
          <w:b w:val="0"/>
          <w:kern w:val="21"/>
          <w:sz w:val="32"/>
          <w:szCs w:val="32"/>
        </w:rPr>
        <w:t>授予小微企业合同金额406.30万元，占政府采购支出总额的100.00%。</w:t>
      </w:r>
    </w:p>
    <w:p w14:paraId="7102C6D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outlineLvl w:val="2"/>
        <w:rPr>
          <w:rFonts w:ascii="仿宋_GB2312" w:eastAsia="仿宋_GB2312"/>
          <w:kern w:val="21"/>
          <w:sz w:val="32"/>
          <w:szCs w:val="32"/>
        </w:rPr>
      </w:pPr>
      <w:r>
        <w:rPr>
          <w:rFonts w:ascii="仿宋_GB2312" w:eastAsia="仿宋_GB2312"/>
          <w:b/>
          <w:kern w:val="21"/>
          <w:sz w:val="32"/>
          <w:szCs w:val="32"/>
        </w:rPr>
        <w:t>（三）国有资产占用情况说明</w:t>
      </w:r>
    </w:p>
    <w:p w14:paraId="09EE840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kern w:val="21"/>
          <w:sz w:val="32"/>
          <w:szCs w:val="32"/>
          <w:lang w:eastAsia="zh-CN"/>
        </w:rPr>
        <w:t>无其他用车</w:t>
      </w:r>
      <w:r>
        <w:rPr>
          <w:rFonts w:ascii="仿宋_GB2312" w:eastAsia="仿宋_GB2312"/>
          <w:b w:val="0"/>
          <w:kern w:val="21"/>
          <w:sz w:val="32"/>
          <w:szCs w:val="32"/>
        </w:rPr>
        <w:t>;单价100万元（含）以上设备（不含车辆）13台（套）。</w:t>
      </w:r>
    </w:p>
    <w:p w14:paraId="2CD2EC13">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十一、预算绩效的情况说明</w:t>
      </w:r>
    </w:p>
    <w:p w14:paraId="3CFC2B46">
      <w:pPr>
        <w:keepNext w:val="0"/>
        <w:keepLines w:val="0"/>
        <w:pageBreakBefore w:val="0"/>
        <w:widowControl w:val="0"/>
        <w:kinsoku/>
        <w:wordWrap/>
        <w:overflowPunct/>
        <w:topLinePunct/>
        <w:autoSpaceDE/>
        <w:autoSpaceDN/>
        <w:bidi w:val="0"/>
        <w:adjustRightInd/>
        <w:snapToGrid/>
        <w:spacing w:after="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根据预算绩效管理要求，</w:t>
      </w:r>
      <w:r>
        <w:rPr>
          <w:rFonts w:hint="eastAsia" w:ascii="仿宋_GB2312" w:eastAsia="仿宋_GB2312"/>
          <w:b w:val="0"/>
          <w:kern w:val="21"/>
          <w:sz w:val="32"/>
          <w:szCs w:val="32"/>
          <w:lang w:val="en-US" w:eastAsia="zh-CN"/>
        </w:rPr>
        <w:t>本</w:t>
      </w:r>
      <w:r>
        <w:rPr>
          <w:rFonts w:hint="eastAsia" w:ascii="仿宋_GB2312" w:eastAsia="仿宋_GB2312"/>
          <w:b w:val="0"/>
          <w:kern w:val="21"/>
          <w:sz w:val="32"/>
          <w:szCs w:val="32"/>
          <w:lang w:eastAsia="zh-CN"/>
        </w:rPr>
        <w:t>单位2024年度预算绩效评价项目</w:t>
      </w:r>
      <w:r>
        <w:rPr>
          <w:rFonts w:hint="eastAsia" w:ascii="仿宋_GB2312" w:eastAsia="仿宋_GB2312"/>
          <w:b w:val="0"/>
          <w:kern w:val="21"/>
          <w:sz w:val="32"/>
          <w:szCs w:val="32"/>
          <w:lang w:val="en-US" w:eastAsia="zh-CN"/>
        </w:rPr>
        <w:t>1</w:t>
      </w:r>
      <w:r>
        <w:rPr>
          <w:rFonts w:hint="eastAsia" w:ascii="仿宋_GB2312" w:eastAsia="仿宋_GB2312"/>
          <w:b w:val="0"/>
          <w:kern w:val="21"/>
          <w:sz w:val="32"/>
          <w:szCs w:val="32"/>
          <w:highlight w:val="none"/>
          <w:lang w:eastAsia="zh-CN"/>
        </w:rPr>
        <w:t>个，</w:t>
      </w:r>
      <w:r>
        <w:rPr>
          <w:rFonts w:hint="eastAsia" w:ascii="仿宋_GB2312" w:eastAsia="仿宋_GB2312"/>
          <w:b w:val="0"/>
          <w:kern w:val="21"/>
          <w:sz w:val="32"/>
          <w:szCs w:val="32"/>
          <w:highlight w:val="none"/>
          <w:lang w:val="en-US" w:eastAsia="zh-CN"/>
        </w:rPr>
        <w:t>全年预算数</w:t>
      </w:r>
      <w:r>
        <w:rPr>
          <w:rFonts w:hint="eastAsia" w:ascii="仿宋_GB2312" w:eastAsia="仿宋_GB2312"/>
          <w:b w:val="0"/>
          <w:kern w:val="21"/>
          <w:sz w:val="32"/>
          <w:szCs w:val="32"/>
          <w:highlight w:val="none"/>
          <w:lang w:eastAsia="zh-CN"/>
        </w:rPr>
        <w:t>445.00</w:t>
      </w:r>
      <w:r>
        <w:rPr>
          <w:rFonts w:hint="eastAsia" w:ascii="仿宋_GB2312" w:eastAsia="仿宋_GB2312"/>
          <w:b w:val="0"/>
          <w:kern w:val="21"/>
          <w:sz w:val="32"/>
          <w:szCs w:val="32"/>
          <w:highlight w:val="none"/>
        </w:rPr>
        <w:t>万元</w:t>
      </w:r>
      <w:r>
        <w:rPr>
          <w:rFonts w:hint="eastAsia" w:ascii="仿宋_GB2312" w:eastAsia="仿宋_GB2312"/>
          <w:b w:val="0"/>
          <w:kern w:val="21"/>
          <w:sz w:val="32"/>
          <w:szCs w:val="32"/>
          <w:highlight w:val="none"/>
          <w:lang w:eastAsia="zh-CN"/>
        </w:rPr>
        <w:t>，</w:t>
      </w:r>
      <w:r>
        <w:rPr>
          <w:rFonts w:hint="eastAsia" w:ascii="仿宋_GB2312" w:eastAsia="仿宋_GB2312"/>
          <w:b w:val="0"/>
          <w:kern w:val="21"/>
          <w:sz w:val="32"/>
          <w:szCs w:val="32"/>
          <w:highlight w:val="none"/>
          <w:lang w:val="en-US" w:eastAsia="zh-CN"/>
        </w:rPr>
        <w:t>全年执行数</w:t>
      </w:r>
      <w:r>
        <w:rPr>
          <w:rFonts w:hint="eastAsia" w:ascii="仿宋_GB2312" w:eastAsia="仿宋_GB2312"/>
          <w:b w:val="0"/>
          <w:kern w:val="21"/>
          <w:sz w:val="32"/>
          <w:szCs w:val="32"/>
          <w:highlight w:val="none"/>
          <w:lang w:eastAsia="zh-CN"/>
        </w:rPr>
        <w:t>445.00</w:t>
      </w:r>
      <w:r>
        <w:rPr>
          <w:rFonts w:hint="eastAsia" w:ascii="仿宋_GB2312" w:eastAsia="仿宋_GB2312"/>
          <w:b w:val="0"/>
          <w:kern w:val="21"/>
          <w:sz w:val="32"/>
          <w:szCs w:val="32"/>
          <w:highlight w:val="none"/>
        </w:rPr>
        <w:t>万元</w:t>
      </w:r>
      <w:r>
        <w:rPr>
          <w:rFonts w:ascii="仿宋_GB2312" w:eastAsia="仿宋_GB2312"/>
          <w:b w:val="0"/>
          <w:kern w:val="21"/>
          <w:sz w:val="32"/>
          <w:szCs w:val="32"/>
          <w:highlight w:val="none"/>
        </w:rPr>
        <w:t>。</w:t>
      </w:r>
      <w:r>
        <w:rPr>
          <w:rFonts w:hint="eastAsia" w:ascii="仿宋_GB2312" w:eastAsia="仿宋_GB2312"/>
          <w:b w:val="0"/>
          <w:kern w:val="21"/>
          <w:sz w:val="32"/>
          <w:szCs w:val="32"/>
        </w:rPr>
        <w:t>预算绩效管理取得的成效：</w:t>
      </w:r>
      <w:r>
        <w:rPr>
          <w:rFonts w:hint="eastAsia" w:ascii="仿宋_GB2312" w:hAnsi="仿宋_GB2312" w:eastAsia="仿宋_GB2312" w:cs="仿宋_GB2312"/>
          <w:b w:val="0"/>
          <w:bCs w:val="0"/>
          <w:kern w:val="21"/>
          <w:sz w:val="32"/>
          <w:szCs w:val="32"/>
          <w:lang w:val="en-US" w:eastAsia="zh-CN"/>
        </w:rPr>
        <w:t>（一）持续</w:t>
      </w:r>
      <w:r>
        <w:rPr>
          <w:rFonts w:hint="eastAsia" w:ascii="仿宋_GB2312" w:hAnsi="仿宋_GB2312" w:eastAsia="仿宋_GB2312" w:cs="仿宋_GB2312"/>
          <w:b w:val="0"/>
          <w:bCs w:val="0"/>
          <w:kern w:val="21"/>
          <w:sz w:val="32"/>
          <w:szCs w:val="32"/>
          <w:lang w:eastAsia="zh-CN"/>
        </w:rPr>
        <w:t>深化</w:t>
      </w:r>
      <w:r>
        <w:rPr>
          <w:rFonts w:hint="eastAsia" w:ascii="仿宋_GB2312" w:hAnsi="仿宋_GB2312" w:eastAsia="仿宋_GB2312" w:cs="仿宋_GB2312"/>
          <w:b w:val="0"/>
          <w:bCs w:val="0"/>
          <w:kern w:val="21"/>
          <w:sz w:val="32"/>
          <w:szCs w:val="32"/>
        </w:rPr>
        <w:t>粮食购销监管信息化</w:t>
      </w:r>
      <w:r>
        <w:rPr>
          <w:rFonts w:hint="eastAsia" w:ascii="仿宋_GB2312" w:hAnsi="仿宋_GB2312" w:eastAsia="仿宋_GB2312" w:cs="仿宋_GB2312"/>
          <w:b w:val="0"/>
          <w:bCs w:val="0"/>
          <w:kern w:val="21"/>
          <w:sz w:val="32"/>
          <w:szCs w:val="32"/>
          <w:lang w:eastAsia="zh-CN"/>
        </w:rPr>
        <w:t>应用，</w:t>
      </w:r>
      <w:r>
        <w:rPr>
          <w:rFonts w:hint="eastAsia" w:ascii="仿宋_GB2312" w:hAnsi="仿宋_GB2312" w:eastAsia="仿宋_GB2312" w:cs="仿宋_GB2312"/>
          <w:b w:val="0"/>
          <w:bCs w:val="0"/>
          <w:spacing w:val="0"/>
          <w:kern w:val="21"/>
          <w:sz w:val="32"/>
          <w:szCs w:val="32"/>
          <w:highlight w:val="none"/>
          <w:lang w:val="en-US" w:eastAsia="zh-CN"/>
        </w:rPr>
        <w:t>不断优化完善我区粮食购销监管信息化平台</w:t>
      </w:r>
      <w:r>
        <w:rPr>
          <w:rFonts w:hint="eastAsia" w:ascii="仿宋_GB2312" w:hAnsi="仿宋_GB2312" w:eastAsia="仿宋_GB2312" w:cs="仿宋_GB2312"/>
          <w:b w:val="0"/>
          <w:bCs w:val="0"/>
          <w:kern w:val="21"/>
          <w:sz w:val="32"/>
          <w:szCs w:val="32"/>
          <w:lang w:eastAsia="zh-CN"/>
        </w:rPr>
        <w:t>系统功能，实现</w:t>
      </w:r>
      <w:r>
        <w:rPr>
          <w:rFonts w:hint="eastAsia" w:ascii="仿宋_GB2312" w:hAnsi="仿宋_GB2312" w:eastAsia="仿宋_GB2312" w:cs="仿宋_GB2312"/>
          <w:b w:val="0"/>
          <w:bCs w:val="0"/>
          <w:kern w:val="21"/>
          <w:sz w:val="32"/>
          <w:szCs w:val="32"/>
          <w:lang w:val="en-US" w:eastAsia="zh-CN"/>
        </w:rPr>
        <w:t>最新版本数据接口的三级</w:t>
      </w:r>
      <w:r>
        <w:rPr>
          <w:rFonts w:hint="eastAsia" w:ascii="仿宋_GB2312" w:hAnsi="仿宋_GB2312" w:eastAsia="仿宋_GB2312" w:cs="仿宋_GB2312"/>
          <w:b w:val="0"/>
          <w:bCs w:val="0"/>
          <w:kern w:val="21"/>
          <w:sz w:val="32"/>
          <w:szCs w:val="32"/>
          <w:lang w:eastAsia="zh-CN"/>
        </w:rPr>
        <w:t>数据互联互通。实现我区仓房基础信息填报和赋码工作，提升了管理规范化、精细化水平。</w:t>
      </w:r>
      <w:r>
        <w:rPr>
          <w:rFonts w:hint="eastAsia" w:ascii="仿宋_GB2312" w:hAnsi="仿宋_GB2312" w:eastAsia="仿宋_GB2312" w:cs="仿宋_GB2312"/>
          <w:b w:val="0"/>
          <w:bCs w:val="0"/>
          <w:color w:val="000000"/>
          <w:kern w:val="21"/>
          <w:sz w:val="32"/>
          <w:szCs w:val="32"/>
          <w:lang w:eastAsia="zh-CN"/>
        </w:rPr>
        <w:t>组织开展信息化应用培训班，不断提升我区粮库信息化工作人员</w:t>
      </w:r>
      <w:r>
        <w:rPr>
          <w:rFonts w:hint="eastAsia" w:ascii="仿宋_GB2312" w:hAnsi="仿宋_GB2312" w:eastAsia="仿宋_GB2312" w:cs="仿宋_GB2312"/>
          <w:b w:val="0"/>
          <w:bCs w:val="0"/>
          <w:color w:val="000000"/>
          <w:kern w:val="21"/>
          <w:sz w:val="32"/>
          <w:szCs w:val="32"/>
          <w:lang w:val="en-US" w:eastAsia="zh-CN"/>
        </w:rPr>
        <w:t>操作</w:t>
      </w:r>
      <w:r>
        <w:rPr>
          <w:rFonts w:hint="eastAsia" w:ascii="仿宋_GB2312" w:hAnsi="仿宋_GB2312" w:eastAsia="仿宋_GB2312" w:cs="仿宋_GB2312"/>
          <w:b w:val="0"/>
          <w:bCs w:val="0"/>
          <w:color w:val="000000"/>
          <w:kern w:val="21"/>
          <w:sz w:val="32"/>
          <w:szCs w:val="32"/>
          <w:lang w:eastAsia="zh-CN"/>
        </w:rPr>
        <w:t>水平，</w:t>
      </w:r>
      <w:r>
        <w:rPr>
          <w:rFonts w:hint="eastAsia" w:ascii="仿宋_GB2312" w:hAnsi="仿宋_GB2312" w:eastAsia="仿宋_GB2312" w:cs="仿宋_GB2312"/>
          <w:b w:val="0"/>
          <w:bCs w:val="0"/>
          <w:kern w:val="21"/>
          <w:sz w:val="32"/>
          <w:szCs w:val="32"/>
          <w:lang w:val="en-US" w:eastAsia="zh-CN"/>
        </w:rPr>
        <w:t>数据质量保持“A级”目标。</w:t>
      </w:r>
      <w:r>
        <w:rPr>
          <w:rFonts w:hint="eastAsia" w:ascii="仿宋_GB2312" w:hAnsi="仿宋_GB2312" w:eastAsia="仿宋_GB2312" w:cs="仿宋_GB2312"/>
          <w:b w:val="0"/>
          <w:bCs w:val="0"/>
          <w:color w:val="auto"/>
          <w:kern w:val="21"/>
          <w:sz w:val="32"/>
          <w:szCs w:val="32"/>
          <w:lang w:val="en-US" w:eastAsia="zh-CN"/>
        </w:rPr>
        <w:t>（二）</w:t>
      </w:r>
      <w:r>
        <w:rPr>
          <w:rFonts w:hint="eastAsia" w:ascii="仿宋_GB2312" w:hAnsi="仿宋_GB2312" w:eastAsia="仿宋_GB2312" w:cs="仿宋_GB2312"/>
          <w:b w:val="0"/>
          <w:bCs w:val="0"/>
          <w:kern w:val="21"/>
          <w:sz w:val="32"/>
          <w:szCs w:val="32"/>
          <w:lang w:eastAsia="zh-CN"/>
        </w:rPr>
        <w:t>加强网络安全建设和运维</w:t>
      </w:r>
      <w:r>
        <w:rPr>
          <w:rFonts w:hint="eastAsia" w:ascii="仿宋_GB2312" w:hAnsi="仿宋_GB2312" w:eastAsia="仿宋_GB2312" w:cs="仿宋_GB2312"/>
          <w:b w:val="0"/>
          <w:bCs w:val="0"/>
          <w:color w:val="auto"/>
          <w:kern w:val="21"/>
          <w:sz w:val="32"/>
          <w:szCs w:val="32"/>
          <w:lang w:val="en-US" w:eastAsia="zh-CN"/>
        </w:rPr>
        <w:t>。及时开展全覆盖保密检查，完成数字资源普查及自治区电子政务内网终端接入节点审查测评工作。常态化开展机房设备及系统巡检工作，实施网络安全改造及网站优化升级项目，全面提升网络安全保障水平。</w:t>
      </w:r>
      <w:r>
        <w:rPr>
          <w:rFonts w:hint="eastAsia" w:ascii="仿宋_GB2312" w:hAnsi="仿宋_GB2312" w:eastAsia="仿宋_GB2312" w:cs="仿宋_GB2312"/>
          <w:b w:val="0"/>
          <w:bCs w:val="0"/>
          <w:kern w:val="21"/>
          <w:sz w:val="32"/>
          <w:szCs w:val="32"/>
          <w:lang w:eastAsia="zh-CN"/>
        </w:rPr>
        <w:t>（三）</w:t>
      </w:r>
      <w:r>
        <w:rPr>
          <w:rFonts w:hint="eastAsia" w:ascii="仿宋_GB2312" w:hAnsi="仿宋_GB2312" w:eastAsia="仿宋_GB2312" w:cs="仿宋_GB2312"/>
          <w:b w:val="0"/>
          <w:bCs w:val="0"/>
          <w:kern w:val="21"/>
          <w:sz w:val="32"/>
          <w:szCs w:val="32"/>
        </w:rPr>
        <w:t>做好媒体平台建设及对外宣传</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做好局门户网站、</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新疆粮食</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kern w:val="21"/>
          <w:sz w:val="32"/>
          <w:szCs w:val="32"/>
        </w:rPr>
        <w:t>微信公众号、一楼大屏等平台信息</w:t>
      </w:r>
      <w:r>
        <w:rPr>
          <w:rFonts w:hint="eastAsia" w:ascii="仿宋_GB2312" w:hAnsi="仿宋_GB2312" w:eastAsia="仿宋_GB2312" w:cs="仿宋_GB2312"/>
          <w:b w:val="0"/>
          <w:bCs w:val="0"/>
          <w:kern w:val="21"/>
          <w:sz w:val="32"/>
          <w:szCs w:val="32"/>
          <w:lang w:val="en-US" w:eastAsia="zh-CN"/>
        </w:rPr>
        <w:t>发布</w:t>
      </w:r>
      <w:r>
        <w:rPr>
          <w:rFonts w:hint="eastAsia" w:ascii="仿宋_GB2312" w:hAnsi="仿宋_GB2312" w:eastAsia="仿宋_GB2312" w:cs="仿宋_GB2312"/>
          <w:b w:val="0"/>
          <w:bCs w:val="0"/>
          <w:kern w:val="21"/>
          <w:sz w:val="32"/>
          <w:szCs w:val="32"/>
        </w:rPr>
        <w:t>工作</w:t>
      </w:r>
      <w:r>
        <w:rPr>
          <w:rFonts w:hint="eastAsia" w:ascii="仿宋_GB2312" w:hAnsi="仿宋_GB2312" w:eastAsia="仿宋_GB2312" w:cs="仿宋_GB2312"/>
          <w:b w:val="0"/>
          <w:bCs w:val="0"/>
          <w:kern w:val="21"/>
          <w:sz w:val="32"/>
          <w:szCs w:val="32"/>
          <w:lang w:eastAsia="zh-CN"/>
        </w:rPr>
        <w:t>，</w:t>
      </w:r>
      <w:r>
        <w:rPr>
          <w:rFonts w:hint="eastAsia" w:ascii="仿宋_GB2312" w:hAnsi="仿宋_GB2312" w:eastAsia="仿宋_GB2312" w:cs="仿宋_GB2312"/>
          <w:b w:val="0"/>
          <w:bCs w:val="0"/>
          <w:color w:val="auto"/>
          <w:kern w:val="21"/>
          <w:sz w:val="32"/>
          <w:szCs w:val="32"/>
          <w:lang w:eastAsia="zh-CN"/>
        </w:rPr>
        <w:t>在</w:t>
      </w:r>
      <w:r>
        <w:rPr>
          <w:rFonts w:hint="eastAsia" w:ascii="仿宋_GB2312" w:hAnsi="仿宋_GB2312" w:eastAsia="仿宋_GB2312" w:cs="仿宋_GB2312"/>
          <w:b w:val="0"/>
          <w:bCs w:val="0"/>
          <w:color w:val="auto"/>
          <w:kern w:val="21"/>
          <w:sz w:val="32"/>
          <w:szCs w:val="32"/>
          <w:lang w:val="en-US" w:eastAsia="zh-CN"/>
        </w:rPr>
        <w:t>全区政府网站和政务新媒体检查</w:t>
      </w:r>
      <w:r>
        <w:rPr>
          <w:rFonts w:hint="eastAsia" w:ascii="仿宋_GB2312" w:hAnsi="仿宋_GB2312" w:eastAsia="仿宋_GB2312" w:cs="仿宋_GB2312"/>
          <w:b w:val="0"/>
          <w:bCs w:val="0"/>
          <w:color w:val="auto"/>
          <w:kern w:val="21"/>
          <w:sz w:val="32"/>
          <w:szCs w:val="32"/>
          <w:lang w:eastAsia="zh-CN"/>
        </w:rPr>
        <w:t>中，成绩优秀、排名靠前。</w:t>
      </w:r>
      <w:r>
        <w:rPr>
          <w:rFonts w:hint="eastAsia" w:ascii="仿宋_GB2312" w:hAnsi="仿宋_GB2312" w:eastAsia="仿宋_GB2312" w:cs="仿宋_GB2312"/>
          <w:b w:val="0"/>
          <w:bCs w:val="0"/>
          <w:color w:val="auto"/>
          <w:kern w:val="21"/>
          <w:sz w:val="32"/>
          <w:szCs w:val="32"/>
          <w:lang w:val="en-US" w:eastAsia="zh-CN"/>
        </w:rPr>
        <w:t>及时</w:t>
      </w:r>
      <w:r>
        <w:rPr>
          <w:rFonts w:hint="eastAsia" w:ascii="仿宋_GB2312" w:hAnsi="仿宋_GB2312" w:eastAsia="仿宋_GB2312" w:cs="仿宋_GB2312"/>
          <w:b w:val="0"/>
          <w:bCs w:val="0"/>
          <w:color w:val="auto"/>
          <w:kern w:val="21"/>
          <w:sz w:val="32"/>
          <w:szCs w:val="32"/>
          <w:lang w:eastAsia="zh-CN"/>
        </w:rPr>
        <w:t>与</w:t>
      </w:r>
      <w:r>
        <w:rPr>
          <w:rFonts w:hint="eastAsia" w:ascii="仿宋_GB2312" w:hAnsi="仿宋_GB2312" w:eastAsia="仿宋_GB2312" w:cs="仿宋_GB2312"/>
          <w:b w:val="0"/>
          <w:bCs w:val="0"/>
          <w:color w:val="auto"/>
          <w:kern w:val="21"/>
          <w:sz w:val="32"/>
          <w:szCs w:val="32"/>
        </w:rPr>
        <w:t>新疆广播电视台等新闻媒体</w:t>
      </w:r>
      <w:r>
        <w:rPr>
          <w:rFonts w:hint="eastAsia" w:ascii="仿宋_GB2312" w:hAnsi="仿宋_GB2312" w:eastAsia="仿宋_GB2312" w:cs="仿宋_GB2312"/>
          <w:b w:val="0"/>
          <w:bCs w:val="0"/>
          <w:color w:val="auto"/>
          <w:kern w:val="21"/>
          <w:sz w:val="32"/>
          <w:szCs w:val="32"/>
          <w:lang w:eastAsia="zh-CN"/>
        </w:rPr>
        <w:t>对接</w:t>
      </w:r>
      <w:r>
        <w:rPr>
          <w:rFonts w:hint="eastAsia" w:ascii="仿宋_GB2312" w:hAnsi="仿宋_GB2312" w:eastAsia="仿宋_GB2312" w:cs="仿宋_GB2312"/>
          <w:b w:val="0"/>
          <w:bCs w:val="0"/>
          <w:color w:val="auto"/>
          <w:kern w:val="21"/>
          <w:sz w:val="32"/>
          <w:szCs w:val="32"/>
        </w:rPr>
        <w:t>，</w:t>
      </w:r>
      <w:r>
        <w:rPr>
          <w:rFonts w:hint="eastAsia" w:ascii="仿宋_GB2312" w:hAnsi="仿宋_GB2312" w:eastAsia="仿宋_GB2312" w:cs="仿宋_GB2312"/>
          <w:b w:val="0"/>
          <w:bCs w:val="0"/>
          <w:color w:val="auto"/>
          <w:kern w:val="21"/>
          <w:sz w:val="32"/>
          <w:szCs w:val="32"/>
          <w:lang w:eastAsia="zh-CN"/>
        </w:rPr>
        <w:t>做好采访报道及新闻宣传</w:t>
      </w:r>
      <w:r>
        <w:rPr>
          <w:rFonts w:hint="eastAsia" w:ascii="仿宋_GB2312" w:hAnsi="仿宋_GB2312" w:eastAsia="仿宋_GB2312" w:cs="仿宋_GB2312"/>
          <w:b w:val="0"/>
          <w:bCs w:val="0"/>
          <w:color w:val="auto"/>
          <w:kern w:val="21"/>
          <w:sz w:val="32"/>
          <w:szCs w:val="32"/>
        </w:rPr>
        <w:t>。做好</w:t>
      </w:r>
      <w:r>
        <w:rPr>
          <w:rFonts w:hint="eastAsia" w:ascii="仿宋_GB2312" w:hAnsi="仿宋_GB2312" w:eastAsia="仿宋_GB2312" w:cs="仿宋_GB2312"/>
          <w:b w:val="0"/>
          <w:bCs w:val="0"/>
          <w:color w:val="auto"/>
          <w:kern w:val="21"/>
          <w:sz w:val="32"/>
          <w:szCs w:val="32"/>
          <w:lang w:val="en-US" w:eastAsia="zh-CN"/>
        </w:rPr>
        <w:t>各类会议</w:t>
      </w:r>
      <w:r>
        <w:rPr>
          <w:rFonts w:hint="eastAsia" w:ascii="仿宋_GB2312" w:hAnsi="仿宋_GB2312" w:eastAsia="仿宋_GB2312" w:cs="仿宋_GB2312"/>
          <w:b w:val="0"/>
          <w:bCs w:val="0"/>
          <w:color w:val="auto"/>
          <w:kern w:val="21"/>
          <w:sz w:val="32"/>
          <w:szCs w:val="32"/>
        </w:rPr>
        <w:t>摄影摄像</w:t>
      </w:r>
      <w:r>
        <w:rPr>
          <w:rFonts w:hint="eastAsia" w:ascii="仿宋_GB2312" w:hAnsi="仿宋_GB2312" w:eastAsia="仿宋_GB2312" w:cs="仿宋_GB2312"/>
          <w:b w:val="0"/>
          <w:bCs w:val="0"/>
          <w:color w:val="auto"/>
          <w:kern w:val="21"/>
          <w:sz w:val="32"/>
          <w:szCs w:val="32"/>
          <w:lang w:eastAsia="zh-CN"/>
        </w:rPr>
        <w:t>、</w:t>
      </w:r>
      <w:r>
        <w:rPr>
          <w:rFonts w:hint="eastAsia" w:ascii="仿宋_GB2312" w:hAnsi="仿宋_GB2312" w:eastAsia="仿宋_GB2312" w:cs="仿宋_GB2312"/>
          <w:b w:val="0"/>
          <w:bCs w:val="0"/>
          <w:color w:val="auto"/>
          <w:kern w:val="21"/>
          <w:sz w:val="32"/>
          <w:szCs w:val="32"/>
          <w:lang w:val="en-US" w:eastAsia="zh-CN"/>
        </w:rPr>
        <w:t>图片采编、PPT制作、视频剪辑等各项服务保障工作</w:t>
      </w:r>
      <w:r>
        <w:rPr>
          <w:rFonts w:hint="eastAsia" w:ascii="仿宋_GB2312" w:hAnsi="仿宋_GB2312" w:eastAsia="仿宋_GB2312" w:cs="仿宋_GB2312"/>
          <w:b w:val="0"/>
          <w:bCs w:val="0"/>
          <w:kern w:val="21"/>
          <w:sz w:val="32"/>
          <w:szCs w:val="32"/>
          <w:lang w:eastAsia="zh-CN"/>
        </w:rPr>
        <w:t>。（四）</w:t>
      </w:r>
      <w:r>
        <w:rPr>
          <w:rFonts w:hint="eastAsia" w:ascii="仿宋_GB2312" w:hAnsi="仿宋_GB2312" w:eastAsia="仿宋_GB2312" w:cs="仿宋_GB2312"/>
          <w:b w:val="0"/>
          <w:bCs w:val="0"/>
          <w:kern w:val="21"/>
          <w:sz w:val="32"/>
          <w:szCs w:val="32"/>
          <w:lang w:val="en-US" w:eastAsia="zh-CN"/>
        </w:rPr>
        <w:t>重点项目绩效评估工作取得较好成绩。自治区财政厅绩效评价中心对信息中心项目进行了绩效评价，得分95.6分，评价等级为“优秀”。</w:t>
      </w:r>
      <w:r>
        <w:rPr>
          <w:rFonts w:hint="eastAsia" w:ascii="仿宋_GB2312" w:eastAsia="仿宋_GB2312"/>
          <w:b w:val="0"/>
          <w:kern w:val="21"/>
          <w:sz w:val="32"/>
          <w:szCs w:val="32"/>
          <w:lang w:val="en-US" w:eastAsia="zh-CN"/>
        </w:rPr>
        <w:t>发现的问题及原因：项目绩效管理水平仍需进一步提升。下一步改进措施：做好项目绩效自评工作，按照年初制定各项评价指标，年内跟踪执行情况，年末对照进行检查考核，把各项指标同全年</w:t>
      </w:r>
      <w:r>
        <w:rPr>
          <w:rFonts w:hint="eastAsia" w:ascii="仿宋_GB2312" w:eastAsia="仿宋_GB2312"/>
          <w:b w:val="0"/>
          <w:kern w:val="21"/>
          <w:sz w:val="32"/>
          <w:szCs w:val="32"/>
          <w:highlight w:val="none"/>
          <w:lang w:val="en-US" w:eastAsia="zh-CN"/>
        </w:rPr>
        <w:t>的收入分别相</w:t>
      </w:r>
      <w:r>
        <w:rPr>
          <w:rFonts w:hint="eastAsia" w:ascii="仿宋_GB2312" w:eastAsia="仿宋_GB2312"/>
          <w:b w:val="0"/>
          <w:kern w:val="21"/>
          <w:sz w:val="32"/>
          <w:szCs w:val="32"/>
          <w:lang w:val="en-US" w:eastAsia="zh-CN"/>
        </w:rPr>
        <w:t>结合，确保各项指标落到实处。具体附项目支出绩</w:t>
      </w:r>
      <w:r>
        <w:rPr>
          <w:rFonts w:hint="eastAsia" w:ascii="仿宋_GB2312" w:hAnsi="仿宋_GB2312" w:eastAsia="仿宋_GB2312" w:cs="仿宋_GB2312"/>
          <w:b w:val="0"/>
          <w:bCs w:val="0"/>
          <w:color w:val="000000"/>
          <w:kern w:val="21"/>
          <w:sz w:val="32"/>
          <w:szCs w:val="32"/>
          <w:lang w:val="en-US" w:eastAsia="zh-CN" w:bidi="ar"/>
        </w:rPr>
        <w:t>效自评表</w:t>
      </w:r>
      <w:r>
        <w:rPr>
          <w:rFonts w:ascii="仿宋_GB2312" w:eastAsia="仿宋_GB2312"/>
          <w:b w:val="0"/>
          <w:kern w:val="21"/>
          <w:sz w:val="32"/>
          <w:szCs w:val="32"/>
        </w:rPr>
        <w:t>。</w:t>
      </w:r>
    </w:p>
    <w:p w14:paraId="33441126">
      <w:pPr>
        <w:keepNext w:val="0"/>
        <w:keepLines w:val="0"/>
        <w:pageBreakBefore w:val="0"/>
        <w:widowControl w:val="0"/>
        <w:kinsoku/>
        <w:wordWrap/>
        <w:overflowPunct/>
        <w:topLinePunct/>
        <w:autoSpaceDE/>
        <w:autoSpaceDN/>
        <w:bidi w:val="0"/>
        <w:adjustRightInd/>
        <w:snapToGrid/>
        <w:spacing w:line="560" w:lineRule="exact"/>
        <w:jc w:val="both"/>
        <w:textAlignment w:val="auto"/>
        <w:rPr>
          <w:rFonts w:ascii="黑体" w:eastAsia="黑体"/>
          <w:b w:val="0"/>
          <w:kern w:val="21"/>
          <w:sz w:val="32"/>
          <w:szCs w:val="32"/>
        </w:rPr>
      </w:pPr>
      <w:r>
        <w:rPr>
          <w:rFonts w:ascii="黑体" w:eastAsia="黑体"/>
          <w:b w:val="0"/>
          <w:kern w:val="21"/>
          <w:sz w:val="32"/>
          <w:szCs w:val="32"/>
        </w:rPr>
        <w:br w:type="page"/>
      </w:r>
    </w:p>
    <w:p w14:paraId="06C97DE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黑体" w:eastAsia="黑体"/>
          <w:kern w:val="21"/>
          <w:sz w:val="32"/>
          <w:szCs w:val="32"/>
        </w:rPr>
      </w:pPr>
      <w:r>
        <w:rPr>
          <w:rFonts w:ascii="黑体" w:eastAsia="黑体"/>
          <w:b w:val="0"/>
          <w:kern w:val="21"/>
          <w:sz w:val="32"/>
          <w:szCs w:val="32"/>
        </w:rPr>
        <w:t>十二、其他需说明的事项</w:t>
      </w:r>
    </w:p>
    <w:p w14:paraId="0314CA6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r>
        <w:rPr>
          <w:rFonts w:ascii="仿宋_GB2312" w:eastAsia="仿宋_GB2312"/>
          <w:b w:val="0"/>
          <w:kern w:val="21"/>
          <w:sz w:val="32"/>
          <w:szCs w:val="32"/>
        </w:rPr>
        <w:t>本单位无其他需说明事项。</w:t>
      </w:r>
    </w:p>
    <w:p w14:paraId="085CBA6F">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rPr>
          <w:rFonts w:ascii="仿宋_GB2312" w:eastAsia="仿宋_GB2312"/>
          <w:kern w:val="21"/>
          <w:sz w:val="32"/>
          <w:szCs w:val="32"/>
        </w:rPr>
      </w:pPr>
    </w:p>
    <w:p w14:paraId="73E3B10C">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rPr>
      </w:pPr>
      <w:r>
        <w:rPr>
          <w:b w:val="0"/>
          <w:kern w:val="21"/>
          <w:sz w:val="0"/>
          <w:szCs w:val="0"/>
        </w:rPr>
        <w:br w:type="page"/>
      </w:r>
    </w:p>
    <w:p w14:paraId="64A830A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rPr>
      </w:pPr>
      <w:r>
        <w:rPr>
          <w:rFonts w:ascii="黑体" w:eastAsia="黑体"/>
          <w:b w:val="0"/>
          <w:kern w:val="21"/>
          <w:sz w:val="32"/>
          <w:szCs w:val="32"/>
        </w:rPr>
        <w:t>第三部分专业名词解释</w:t>
      </w:r>
    </w:p>
    <w:p w14:paraId="509135F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一、财政拨款收入：</w:t>
      </w:r>
      <w:r>
        <w:rPr>
          <w:rFonts w:ascii="仿宋_GB2312" w:eastAsia="仿宋_GB2312"/>
          <w:b w:val="0"/>
          <w:kern w:val="21"/>
          <w:sz w:val="32"/>
          <w:szCs w:val="32"/>
        </w:rPr>
        <w:t>指同级财政当年拨付的资金。</w:t>
      </w:r>
    </w:p>
    <w:p w14:paraId="0CB5792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二、上级补助收入：</w:t>
      </w:r>
      <w:r>
        <w:rPr>
          <w:rFonts w:ascii="仿宋_GB2312" w:eastAsia="仿宋_GB2312"/>
          <w:b w:val="0"/>
          <w:kern w:val="21"/>
          <w:sz w:val="32"/>
          <w:szCs w:val="32"/>
        </w:rPr>
        <w:t>指事业单位从主管部门和上级单位取得的非财政补助收入。</w:t>
      </w:r>
    </w:p>
    <w:p w14:paraId="293859B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三、事业收入：</w:t>
      </w:r>
      <w:r>
        <w:rPr>
          <w:rFonts w:ascii="仿宋_GB2312" w:eastAsia="仿宋_GB2312"/>
          <w:b w:val="0"/>
          <w:kern w:val="21"/>
          <w:sz w:val="32"/>
          <w:szCs w:val="32"/>
        </w:rPr>
        <w:t>指事业单位开展专业业务活动及其辅助活动所取得的收入。</w:t>
      </w:r>
    </w:p>
    <w:p w14:paraId="5503EB6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四、经营收入：</w:t>
      </w:r>
      <w:r>
        <w:rPr>
          <w:rFonts w:ascii="仿宋_GB2312" w:eastAsia="仿宋_GB2312"/>
          <w:b w:val="0"/>
          <w:kern w:val="21"/>
          <w:sz w:val="32"/>
          <w:szCs w:val="32"/>
        </w:rPr>
        <w:t>指事业单位在专业业务活动及其辅助活动之外开展非独立核算经营活动取得的收入。</w:t>
      </w:r>
    </w:p>
    <w:p w14:paraId="15810E58">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五、附属单位上缴收入：</w:t>
      </w:r>
      <w:r>
        <w:rPr>
          <w:rFonts w:ascii="仿宋_GB2312" w:eastAsia="仿宋_GB2312"/>
          <w:b w:val="0"/>
          <w:kern w:val="21"/>
          <w:sz w:val="32"/>
          <w:szCs w:val="32"/>
        </w:rPr>
        <w:t>指事业单位附属的独立核算单位按有关规定上缴的收入。</w:t>
      </w:r>
    </w:p>
    <w:p w14:paraId="5E431D2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六、其他收入：</w:t>
      </w:r>
      <w:r>
        <w:rPr>
          <w:rFonts w:ascii="仿宋_GB2312" w:eastAsia="仿宋_GB2312"/>
          <w:b w:val="0"/>
          <w:kern w:val="21"/>
          <w:sz w:val="32"/>
          <w:szCs w:val="32"/>
        </w:rPr>
        <w:t>指除上述</w:t>
      </w:r>
      <w:r>
        <w:rPr>
          <w:rFonts w:hint="eastAsia" w:ascii="仿宋_GB2312" w:eastAsia="仿宋_GB2312"/>
          <w:b w:val="0"/>
          <w:kern w:val="21"/>
          <w:sz w:val="32"/>
          <w:szCs w:val="32"/>
          <w:lang w:eastAsia="zh-CN"/>
        </w:rPr>
        <w:t>“</w:t>
      </w:r>
      <w:r>
        <w:rPr>
          <w:rFonts w:ascii="仿宋_GB2312" w:eastAsia="仿宋_GB2312"/>
          <w:b w:val="0"/>
          <w:kern w:val="21"/>
          <w:sz w:val="32"/>
          <w:szCs w:val="32"/>
        </w:rPr>
        <w:t>财政拨款收入</w:t>
      </w:r>
      <w:r>
        <w:rPr>
          <w:rFonts w:hint="eastAsia" w:ascii="仿宋_GB2312" w:eastAsia="仿宋_GB2312"/>
          <w:b w:val="0"/>
          <w:kern w:val="21"/>
          <w:sz w:val="32"/>
          <w:szCs w:val="32"/>
          <w:lang w:eastAsia="zh-CN"/>
        </w:rPr>
        <w:t>”</w:t>
      </w:r>
      <w:r>
        <w:rPr>
          <w:rFonts w:ascii="仿宋_GB2312" w:eastAsia="仿宋_GB2312"/>
          <w:b w:val="0"/>
          <w:kern w:val="21"/>
          <w:sz w:val="32"/>
          <w:szCs w:val="32"/>
        </w:rPr>
        <w:t>、</w:t>
      </w:r>
      <w:r>
        <w:rPr>
          <w:rFonts w:hint="eastAsia" w:ascii="仿宋_GB2312" w:eastAsia="仿宋_GB2312"/>
          <w:b w:val="0"/>
          <w:kern w:val="21"/>
          <w:sz w:val="32"/>
          <w:szCs w:val="32"/>
          <w:lang w:eastAsia="zh-CN"/>
        </w:rPr>
        <w:t>“</w:t>
      </w:r>
      <w:r>
        <w:rPr>
          <w:rFonts w:ascii="仿宋_GB2312" w:eastAsia="仿宋_GB2312"/>
          <w:b w:val="0"/>
          <w:kern w:val="21"/>
          <w:sz w:val="32"/>
          <w:szCs w:val="32"/>
        </w:rPr>
        <w:t>事业收入</w:t>
      </w:r>
      <w:r>
        <w:rPr>
          <w:rFonts w:hint="eastAsia" w:ascii="仿宋_GB2312" w:eastAsia="仿宋_GB2312"/>
          <w:b w:val="0"/>
          <w:kern w:val="21"/>
          <w:sz w:val="32"/>
          <w:szCs w:val="32"/>
          <w:lang w:eastAsia="zh-CN"/>
        </w:rPr>
        <w:t>”</w:t>
      </w:r>
      <w:r>
        <w:rPr>
          <w:rFonts w:ascii="仿宋_GB2312" w:eastAsia="仿宋_GB2312"/>
          <w:b w:val="0"/>
          <w:kern w:val="21"/>
          <w:sz w:val="32"/>
          <w:szCs w:val="32"/>
        </w:rPr>
        <w:t>、</w:t>
      </w:r>
      <w:r>
        <w:rPr>
          <w:rFonts w:hint="eastAsia" w:ascii="仿宋_GB2312" w:eastAsia="仿宋_GB2312"/>
          <w:b w:val="0"/>
          <w:kern w:val="21"/>
          <w:sz w:val="32"/>
          <w:szCs w:val="32"/>
          <w:lang w:eastAsia="zh-CN"/>
        </w:rPr>
        <w:t>“</w:t>
      </w:r>
      <w:r>
        <w:rPr>
          <w:rFonts w:ascii="仿宋_GB2312" w:eastAsia="仿宋_GB2312"/>
          <w:b w:val="0"/>
          <w:kern w:val="21"/>
          <w:sz w:val="32"/>
          <w:szCs w:val="32"/>
        </w:rPr>
        <w:t>经营收入</w:t>
      </w:r>
      <w:r>
        <w:rPr>
          <w:rFonts w:hint="eastAsia" w:ascii="仿宋_GB2312" w:eastAsia="仿宋_GB2312"/>
          <w:b w:val="0"/>
          <w:kern w:val="21"/>
          <w:sz w:val="32"/>
          <w:szCs w:val="32"/>
          <w:lang w:eastAsia="zh-CN"/>
        </w:rPr>
        <w:t>”</w:t>
      </w:r>
      <w:r>
        <w:rPr>
          <w:rFonts w:ascii="仿宋_GB2312" w:eastAsia="仿宋_GB2312"/>
          <w:b w:val="0"/>
          <w:kern w:val="21"/>
          <w:sz w:val="32"/>
          <w:szCs w:val="32"/>
        </w:rPr>
        <w:t>、</w:t>
      </w:r>
      <w:r>
        <w:rPr>
          <w:rFonts w:hint="eastAsia" w:ascii="仿宋_GB2312" w:eastAsia="仿宋_GB2312"/>
          <w:b w:val="0"/>
          <w:kern w:val="21"/>
          <w:sz w:val="32"/>
          <w:szCs w:val="32"/>
          <w:lang w:eastAsia="zh-CN"/>
        </w:rPr>
        <w:t>“</w:t>
      </w:r>
      <w:r>
        <w:rPr>
          <w:rFonts w:ascii="仿宋_GB2312" w:eastAsia="仿宋_GB2312"/>
          <w:b w:val="0"/>
          <w:kern w:val="21"/>
          <w:sz w:val="32"/>
          <w:szCs w:val="32"/>
        </w:rPr>
        <w:t>附属单位上缴收入</w:t>
      </w:r>
      <w:r>
        <w:rPr>
          <w:rFonts w:hint="eastAsia" w:ascii="仿宋_GB2312" w:eastAsia="仿宋_GB2312"/>
          <w:b w:val="0"/>
          <w:kern w:val="21"/>
          <w:sz w:val="32"/>
          <w:szCs w:val="32"/>
          <w:lang w:eastAsia="zh-CN"/>
        </w:rPr>
        <w:t>”</w:t>
      </w:r>
      <w:r>
        <w:rPr>
          <w:rFonts w:ascii="仿宋_GB2312" w:eastAsia="仿宋_GB2312"/>
          <w:b w:val="0"/>
          <w:kern w:val="21"/>
          <w:sz w:val="32"/>
          <w:szCs w:val="32"/>
        </w:rPr>
        <w:t>等之外取得的收入。</w:t>
      </w:r>
    </w:p>
    <w:p w14:paraId="083640F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七、年初结转和结余：</w:t>
      </w:r>
      <w:r>
        <w:rPr>
          <w:rFonts w:ascii="仿宋_GB2312" w:eastAsia="仿宋_GB2312"/>
          <w:b w:val="0"/>
          <w:kern w:val="21"/>
          <w:sz w:val="32"/>
          <w:szCs w:val="32"/>
        </w:rPr>
        <w:t>指以前年度支出预算因客观条件变化未执行完毕、结转到本年度按有关规定继续使用的资金，既包括财政拨款结转和结余，也包括事业收入、经营收入、其他收入的结转和结余。</w:t>
      </w:r>
    </w:p>
    <w:p w14:paraId="20498E91">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八、年末结转和结余：</w:t>
      </w:r>
      <w:r>
        <w:rPr>
          <w:rFonts w:ascii="仿宋_GB2312" w:eastAsia="仿宋_GB2312"/>
          <w:b w:val="0"/>
          <w:kern w:val="21"/>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1B4B6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九、基本支出：</w:t>
      </w:r>
      <w:r>
        <w:rPr>
          <w:rFonts w:ascii="仿宋_GB2312" w:eastAsia="仿宋_GB2312"/>
          <w:b w:val="0"/>
          <w:kern w:val="21"/>
          <w:sz w:val="32"/>
          <w:szCs w:val="32"/>
        </w:rPr>
        <w:t>指为保障机构正常运转、完成日常工作任务而发生的人员支出和公用支出。</w:t>
      </w:r>
    </w:p>
    <w:p w14:paraId="26CE86E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十、项目支出：</w:t>
      </w:r>
      <w:r>
        <w:rPr>
          <w:rFonts w:ascii="仿宋_GB2312" w:eastAsia="仿宋_GB2312"/>
          <w:b w:val="0"/>
          <w:kern w:val="21"/>
          <w:sz w:val="32"/>
          <w:szCs w:val="32"/>
        </w:rPr>
        <w:t>指在基本支出之外为完成特定行政任务和事业发展目标所发生的支出。</w:t>
      </w:r>
    </w:p>
    <w:p w14:paraId="1F9B38D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十一、经营支出：</w:t>
      </w:r>
      <w:r>
        <w:rPr>
          <w:rFonts w:ascii="仿宋_GB2312" w:eastAsia="仿宋_GB2312"/>
          <w:b w:val="0"/>
          <w:kern w:val="21"/>
          <w:sz w:val="32"/>
          <w:szCs w:val="32"/>
        </w:rPr>
        <w:t>指事业单位在专业业务活动及其辅助活动之外开展非独立核算经营活动发生的支出。</w:t>
      </w:r>
    </w:p>
    <w:p w14:paraId="5BC53D3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十二、对附属单位补助支出：</w:t>
      </w:r>
      <w:r>
        <w:rPr>
          <w:rFonts w:ascii="仿宋_GB2312" w:eastAsia="仿宋_GB2312"/>
          <w:b w:val="0"/>
          <w:kern w:val="21"/>
          <w:sz w:val="32"/>
          <w:szCs w:val="32"/>
        </w:rPr>
        <w:t>指事业单位发生的用非财政预算资金对附属单位的补助支出。</w:t>
      </w:r>
    </w:p>
    <w:p w14:paraId="2B156AC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十三、</w:t>
      </w:r>
      <w:r>
        <w:rPr>
          <w:rFonts w:hint="eastAsia" w:ascii="仿宋_GB2312" w:eastAsia="仿宋_GB2312"/>
          <w:b/>
          <w:kern w:val="21"/>
          <w:sz w:val="32"/>
          <w:szCs w:val="32"/>
          <w:lang w:eastAsia="zh-CN"/>
        </w:rPr>
        <w:t>“</w:t>
      </w:r>
      <w:r>
        <w:rPr>
          <w:rFonts w:ascii="仿宋_GB2312" w:eastAsia="仿宋_GB2312"/>
          <w:b/>
          <w:kern w:val="21"/>
          <w:sz w:val="32"/>
          <w:szCs w:val="32"/>
        </w:rPr>
        <w:t>三公</w:t>
      </w:r>
      <w:r>
        <w:rPr>
          <w:rFonts w:hint="eastAsia" w:ascii="仿宋_GB2312" w:eastAsia="仿宋_GB2312"/>
          <w:b/>
          <w:kern w:val="21"/>
          <w:sz w:val="32"/>
          <w:szCs w:val="32"/>
          <w:lang w:eastAsia="zh-CN"/>
        </w:rPr>
        <w:t>”</w:t>
      </w:r>
      <w:r>
        <w:rPr>
          <w:rFonts w:ascii="仿宋_GB2312" w:eastAsia="仿宋_GB2312"/>
          <w:b/>
          <w:kern w:val="21"/>
          <w:sz w:val="32"/>
          <w:szCs w:val="32"/>
        </w:rPr>
        <w:t>经费：</w:t>
      </w:r>
      <w:r>
        <w:rPr>
          <w:rFonts w:ascii="仿宋_GB2312" w:eastAsia="仿宋_GB2312"/>
          <w:b w:val="0"/>
          <w:kern w:val="21"/>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DB9D77">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3" w:firstLineChars="200"/>
        <w:jc w:val="both"/>
        <w:textAlignment w:val="auto"/>
        <w:rPr>
          <w:rFonts w:ascii="仿宋_GB2312" w:eastAsia="仿宋_GB2312"/>
          <w:kern w:val="21"/>
          <w:sz w:val="32"/>
          <w:szCs w:val="32"/>
        </w:rPr>
      </w:pPr>
      <w:r>
        <w:rPr>
          <w:rFonts w:ascii="仿宋_GB2312" w:eastAsia="仿宋_GB2312"/>
          <w:b/>
          <w:kern w:val="21"/>
          <w:sz w:val="32"/>
          <w:szCs w:val="32"/>
        </w:rPr>
        <w:t>十四、机关运行经费：</w:t>
      </w:r>
      <w:r>
        <w:rPr>
          <w:rFonts w:ascii="仿宋_GB2312" w:eastAsia="仿宋_GB2312"/>
          <w:b w:val="0"/>
          <w:kern w:val="21"/>
          <w:sz w:val="32"/>
          <w:szCs w:val="32"/>
        </w:rPr>
        <w:t>行政单位和参照公务员法管理的事业单位财政拨款基本支出中的公用经费支出。</w:t>
      </w:r>
    </w:p>
    <w:p w14:paraId="11E96FDB">
      <w:pPr>
        <w:keepNext w:val="0"/>
        <w:keepLines w:val="0"/>
        <w:pageBreakBefore w:val="0"/>
        <w:widowControl w:val="0"/>
        <w:kinsoku/>
        <w:wordWrap/>
        <w:overflowPunct/>
        <w:topLinePunct/>
        <w:autoSpaceDE/>
        <w:autoSpaceDN/>
        <w:bidi w:val="0"/>
        <w:adjustRightInd/>
        <w:snapToGrid/>
        <w:spacing w:line="560" w:lineRule="exact"/>
        <w:jc w:val="both"/>
        <w:textAlignment w:val="auto"/>
        <w:rPr>
          <w:kern w:val="21"/>
        </w:rPr>
      </w:pPr>
      <w:r>
        <w:rPr>
          <w:b w:val="0"/>
          <w:kern w:val="21"/>
          <w:sz w:val="0"/>
          <w:szCs w:val="0"/>
        </w:rPr>
        <w:br w:type="page"/>
      </w:r>
    </w:p>
    <w:p w14:paraId="2888E5EB">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jc w:val="center"/>
        <w:textAlignment w:val="auto"/>
        <w:outlineLvl w:val="0"/>
        <w:rPr>
          <w:rFonts w:ascii="黑体" w:eastAsia="黑体"/>
          <w:kern w:val="21"/>
          <w:sz w:val="32"/>
          <w:szCs w:val="32"/>
        </w:rPr>
      </w:pPr>
      <w:r>
        <w:rPr>
          <w:rFonts w:ascii="黑体" w:eastAsia="黑体"/>
          <w:b w:val="0"/>
          <w:kern w:val="21"/>
          <w:sz w:val="32"/>
          <w:szCs w:val="32"/>
        </w:rPr>
        <w:t>第四部分部门决算报表（见附表）</w:t>
      </w:r>
    </w:p>
    <w:p w14:paraId="430F7AED">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一、《收入支出决算总表》</w:t>
      </w:r>
    </w:p>
    <w:p w14:paraId="4080D5DA">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二、《收入决算表》</w:t>
      </w:r>
    </w:p>
    <w:p w14:paraId="37010B1E">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三、《支出决算表》</w:t>
      </w:r>
    </w:p>
    <w:p w14:paraId="4D27B61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四、《财政拨款收入支出决算总表》</w:t>
      </w:r>
    </w:p>
    <w:p w14:paraId="37E67BB4">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五、《一般公共预算财政拨款支出决算表》</w:t>
      </w:r>
    </w:p>
    <w:p w14:paraId="0830818C">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六、《一般公共预算财政拨款基本支出决算表》</w:t>
      </w:r>
    </w:p>
    <w:p w14:paraId="3FADF1B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七、《政府性基金预算财政拨款收入支出决算表》</w:t>
      </w:r>
    </w:p>
    <w:p w14:paraId="7F0B6385">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八、《国有资本经营预算财政拨款收入支出决算表》</w:t>
      </w:r>
    </w:p>
    <w:p w14:paraId="103AC5E2">
      <w:pPr>
        <w:keepNext w:val="0"/>
        <w:keepLines w:val="0"/>
        <w:pageBreakBefore w:val="0"/>
        <w:widowControl w:val="0"/>
        <w:kinsoku/>
        <w:wordWrap/>
        <w:overflowPunct/>
        <w:topLinePunct/>
        <w:autoSpaceDE/>
        <w:autoSpaceDN/>
        <w:bidi w:val="0"/>
        <w:adjustRightInd/>
        <w:snapToGrid/>
        <w:spacing w:before="0" w:beforeAutospacing="0" w:after="0" w:afterAutospacing="0" w:line="560" w:lineRule="exact"/>
        <w:ind w:firstLine="640" w:firstLineChars="200"/>
        <w:jc w:val="both"/>
        <w:textAlignment w:val="auto"/>
        <w:outlineLvl w:val="1"/>
        <w:rPr>
          <w:rFonts w:ascii="仿宋_GB2312" w:eastAsia="仿宋_GB2312"/>
          <w:kern w:val="21"/>
          <w:sz w:val="32"/>
          <w:szCs w:val="32"/>
        </w:rPr>
      </w:pPr>
      <w:r>
        <w:rPr>
          <w:rFonts w:ascii="仿宋_GB2312" w:eastAsia="仿宋_GB2312"/>
          <w:b w:val="0"/>
          <w:kern w:val="21"/>
          <w:sz w:val="32"/>
          <w:szCs w:val="32"/>
        </w:rPr>
        <w:t>九、《财政拨款</w:t>
      </w:r>
      <w:r>
        <w:rPr>
          <w:rFonts w:hint="eastAsia" w:ascii="仿宋_GB2312" w:eastAsia="仿宋_GB2312"/>
          <w:b w:val="0"/>
          <w:kern w:val="21"/>
          <w:sz w:val="32"/>
          <w:szCs w:val="32"/>
          <w:lang w:eastAsia="zh-CN"/>
        </w:rPr>
        <w:t>“</w:t>
      </w:r>
      <w:r>
        <w:rPr>
          <w:rFonts w:ascii="仿宋_GB2312" w:eastAsia="仿宋_GB2312"/>
          <w:b w:val="0"/>
          <w:kern w:val="21"/>
          <w:sz w:val="32"/>
          <w:szCs w:val="32"/>
        </w:rPr>
        <w:t>三公</w:t>
      </w:r>
      <w:r>
        <w:rPr>
          <w:rFonts w:hint="eastAsia" w:ascii="仿宋_GB2312" w:eastAsia="仿宋_GB2312"/>
          <w:b w:val="0"/>
          <w:kern w:val="21"/>
          <w:sz w:val="32"/>
          <w:szCs w:val="32"/>
          <w:lang w:eastAsia="zh-CN"/>
        </w:rPr>
        <w:t>”</w:t>
      </w:r>
      <w:r>
        <w:rPr>
          <w:rFonts w:ascii="仿宋_GB2312" w:eastAsia="仿宋_GB2312"/>
          <w:b w:val="0"/>
          <w:kern w:val="21"/>
          <w:sz w:val="32"/>
          <w:szCs w:val="32"/>
        </w:rPr>
        <w:t>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suff w:val="nothing"/>
      <w:lvlText w:val="%1."/>
      <w:lvlJc w:val="left"/>
      <w:pPr>
        <w:spacing w:before="0" w:beforeLines="0" w:beforeAutospacing="0" w:line="240" w:lineRule="auto"/>
        <w:ind w:firstLine="640" w:firstLineChars="200"/>
      </w:pPr>
    </w:lvl>
    <w:lvl w:ilvl="1" w:tentative="0">
      <w:start w:val="1"/>
      <w:numFmt w:val="decimal"/>
      <w:suff w:val="nothing"/>
      <w:lvlText w:val="%1.%2."/>
      <w:lvlJc w:val="left"/>
      <w:pPr>
        <w:spacing w:before="0" w:beforeLines="0" w:beforeAutospacing="0" w:line="240" w:lineRule="auto"/>
        <w:ind w:firstLine="640" w:firstLineChars="200"/>
      </w:pPr>
    </w:lvl>
    <w:lvl w:ilvl="2" w:tentative="0">
      <w:start w:val="1"/>
      <w:numFmt w:val="decimal"/>
      <w:suff w:val="nothing"/>
      <w:lvlText w:val="%1.%2.%3."/>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1"/>
  <w:displayVerticalDrawingGridEvery w:val="1"/>
  <w:noPunctuationKerning w:val="1"/>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C791F"/>
    <w:rsid w:val="25615761"/>
    <w:rsid w:val="2787643D"/>
    <w:rsid w:val="2911239F"/>
    <w:rsid w:val="32A818C1"/>
    <w:rsid w:val="35272C52"/>
    <w:rsid w:val="37353F4B"/>
    <w:rsid w:val="3D345CBB"/>
    <w:rsid w:val="3DF75185"/>
    <w:rsid w:val="3E913684"/>
    <w:rsid w:val="444C3DC4"/>
    <w:rsid w:val="48A84141"/>
    <w:rsid w:val="4DA969C6"/>
    <w:rsid w:val="5562495B"/>
    <w:rsid w:val="57696FEA"/>
    <w:rsid w:val="6B187027"/>
    <w:rsid w:val="6B6C1F9E"/>
    <w:rsid w:val="70965404"/>
    <w:rsid w:val="724D3A77"/>
    <w:rsid w:val="73134AA1"/>
    <w:rsid w:val="76BC518A"/>
    <w:rsid w:val="79AD7134"/>
    <w:rsid w:val="7BCF3F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Body Text"/>
    <w:basedOn w:val="1"/>
    <w:next w:val="9"/>
    <w:qFormat/>
    <w:uiPriority w:val="0"/>
    <w:pPr>
      <w:spacing w:before="0" w:after="140" w:line="276" w:lineRule="auto"/>
    </w:pPr>
  </w:style>
  <w:style w:type="paragraph" w:customStyle="1" w:styleId="9">
    <w:name w:val="Body Text 21"/>
    <w:basedOn w:val="1"/>
    <w:qFormat/>
    <w:uiPriority w:val="0"/>
    <w:pPr>
      <w:spacing w:after="120" w:line="480" w:lineRule="auto"/>
    </w:pPr>
    <w:rPr>
      <w:rFonts w:ascii="Arial" w:hAnsi="Arial" w:cs="Times New Roman"/>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2">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4">
    <w:name w:val="Table Grid"/>
    <w:basedOn w:val="13"/>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14:textFill>
        <w14:solidFill>
          <w14:schemeClr w14:val="hlink"/>
        </w14:solidFill>
      </w14:textFill>
    </w:rPr>
  </w:style>
  <w:style w:type="character" w:customStyle="1" w:styleId="18">
    <w:name w:val="Header Char"/>
    <w:basedOn w:val="15"/>
    <w:link w:val="10"/>
    <w:qFormat/>
    <w:uiPriority w:val="99"/>
  </w:style>
  <w:style w:type="character" w:customStyle="1" w:styleId="19">
    <w:name w:val="Heading 1 Char"/>
    <w:basedOn w:val="15"/>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Heading 2 Char"/>
    <w:basedOn w:val="15"/>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Heading 3 Char"/>
    <w:basedOn w:val="15"/>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Heading 4 Char"/>
    <w:basedOn w:val="15"/>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Subtitle Char"/>
    <w:basedOn w:val="15"/>
    <w:link w:val="11"/>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4">
    <w:name w:val="Title Char"/>
    <w:basedOn w:val="15"/>
    <w:link w:val="12"/>
    <w:qFormat/>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5367</Words>
  <Characters>5951</Characters>
  <TotalTime>4</TotalTime>
  <ScaleCrop>false</ScaleCrop>
  <LinksUpToDate>false</LinksUpToDate>
  <CharactersWithSpaces>5951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2025-08-14T13:07:00Z</dcterms:created>
  <dc:creator>Administrator</dc:creator>
  <cp:lastModifiedBy>WPS_1687104100</cp:lastModifiedBy>
  <cp:lastPrinted>2025-09-02T10:08:00Z</cp:lastPrinted>
  <dcterms:modified xsi:type="dcterms:W3CDTF">2025-09-03T05:48:46Z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eyJoZGlkIjoiMTE2MjBiZDJmOWM0OGJlMzQ3NTk4MmI1ODRmM2UyMjQiLCJ1c2VySWQiOiIxNTA1NTQyMDU3In0=</vt:lpwstr>
  </property>
  <property fmtid="{D5CDD505-2E9C-101B-9397-08002B2CF9AE}" pid="3" name="KSOProductBuildVer">
    <vt:lpwstr>2052-12.1.0.22529</vt:lpwstr>
  </property>
  <property fmtid="{D5CDD505-2E9C-101B-9397-08002B2CF9AE}" pid="4" name="ICV">
    <vt:lpwstr>A098D0E22B83419D974DB9CC514C448D_13</vt:lpwstr>
  </property>
</Properties>
</file>