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0" w:beforeLines="0" w:beforeAutospacing="0" w:after="0" w:afterLines="0" w:afterAutospacing="0" w:line="240" w:lineRule="auto"/>
        <w:jc w:val="left"/>
        <w:rPr>
          <w:rFonts w:ascii="宋体" w:eastAsia="宋体"/>
          <w:color w:val="auto"/>
          <w:sz w:val="32"/>
          <w:szCs w:val="32"/>
        </w:rPr>
      </w:pPr>
    </w:p>
    <w:p>
      <w:pPr>
        <w:widowControl/>
        <w:spacing w:before="0" w:beforeLines="0" w:beforeAutospacing="0" w:after="0" w:afterLines="0" w:afterAutospacing="0" w:line="240" w:lineRule="auto"/>
        <w:jc w:val="left"/>
        <w:rPr>
          <w:rFonts w:ascii="宋体" w:eastAsia="宋体"/>
          <w:color w:val="auto"/>
          <w:sz w:val="44"/>
          <w:szCs w:val="44"/>
        </w:rPr>
      </w:pPr>
    </w:p>
    <w:p>
      <w:pPr>
        <w:widowControl/>
        <w:spacing w:before="0" w:beforeLines="0" w:beforeAutospacing="0" w:after="0" w:afterLines="0" w:afterAutospacing="0" w:line="240" w:lineRule="auto"/>
        <w:jc w:val="left"/>
        <w:rPr>
          <w:rFonts w:ascii="宋体" w:eastAsia="宋体"/>
          <w:color w:val="auto"/>
          <w:sz w:val="44"/>
          <w:szCs w:val="44"/>
        </w:rPr>
      </w:pPr>
    </w:p>
    <w:p>
      <w:pPr>
        <w:widowControl/>
        <w:spacing w:before="0" w:beforeLines="0" w:beforeAutospacing="0" w:after="0" w:afterLines="0" w:afterAutospacing="0" w:line="240" w:lineRule="auto"/>
        <w:jc w:val="left"/>
        <w:rPr>
          <w:rFonts w:ascii="宋体" w:eastAsia="宋体"/>
          <w:color w:val="auto"/>
          <w:sz w:val="44"/>
          <w:szCs w:val="44"/>
        </w:rPr>
      </w:pPr>
    </w:p>
    <w:p>
      <w:pPr>
        <w:widowControl/>
        <w:spacing w:before="0" w:beforeLines="0" w:beforeAutospacing="0" w:after="0" w:afterLines="0" w:afterAutospacing="0" w:line="240" w:lineRule="auto"/>
        <w:jc w:val="center"/>
        <w:outlineLvl w:val="0"/>
        <w:rPr>
          <w:rFonts w:ascii="宋体" w:eastAsia="黑体"/>
          <w:b w:val="0"/>
          <w:color w:val="auto"/>
          <w:sz w:val="44"/>
          <w:szCs w:val="44"/>
        </w:rPr>
      </w:pPr>
      <w:r>
        <w:rPr>
          <w:rFonts w:ascii="宋体" w:eastAsia="黑体"/>
          <w:b w:val="0"/>
          <w:color w:val="auto"/>
          <w:sz w:val="44"/>
          <w:szCs w:val="44"/>
        </w:rPr>
        <w:t>新疆维吾尔自治区粮食和物资储备局</w:t>
      </w:r>
    </w:p>
    <w:p>
      <w:pPr>
        <w:widowControl/>
        <w:spacing w:before="0" w:beforeLines="0" w:beforeAutospacing="0" w:after="0" w:afterLines="0" w:afterAutospacing="0" w:line="240" w:lineRule="auto"/>
        <w:jc w:val="center"/>
        <w:outlineLvl w:val="0"/>
        <w:rPr>
          <w:rFonts w:ascii="宋体" w:eastAsia="黑体"/>
          <w:color w:val="auto"/>
          <w:sz w:val="44"/>
          <w:szCs w:val="44"/>
        </w:rPr>
      </w:pPr>
      <w:r>
        <w:rPr>
          <w:rFonts w:ascii="宋体" w:eastAsia="黑体"/>
          <w:b w:val="0"/>
          <w:color w:val="auto"/>
          <w:sz w:val="44"/>
          <w:szCs w:val="44"/>
        </w:rPr>
        <w:t>（机关）</w:t>
      </w:r>
    </w:p>
    <w:p>
      <w:pPr>
        <w:widowControl/>
        <w:spacing w:before="0" w:beforeLines="0" w:beforeAutospacing="0" w:after="0" w:afterLines="0" w:afterAutospacing="0" w:line="240" w:lineRule="auto"/>
        <w:jc w:val="center"/>
        <w:outlineLvl w:val="0"/>
        <w:rPr>
          <w:rFonts w:ascii="黑体" w:eastAsia="黑体"/>
          <w:color w:val="auto"/>
          <w:sz w:val="44"/>
          <w:szCs w:val="44"/>
        </w:rPr>
      </w:pPr>
      <w:r>
        <w:rPr>
          <w:rFonts w:ascii="黑体" w:eastAsia="黑体"/>
          <w:b w:val="0"/>
          <w:color w:val="auto"/>
          <w:sz w:val="44"/>
          <w:szCs w:val="44"/>
        </w:rPr>
        <w:t>2024年度部门决算公开说明</w:t>
      </w:r>
    </w:p>
    <w:p>
      <w:pPr>
        <w:widowControl/>
        <w:rPr>
          <w:color w:val="auto"/>
        </w:rPr>
      </w:pPr>
      <w:r>
        <w:rPr>
          <w:b w:val="0"/>
          <w:color w:val="auto"/>
          <w:sz w:val="0"/>
          <w:szCs w:val="0"/>
        </w:rPr>
        <w:br w:type="page"/>
      </w:r>
    </w:p>
    <w:p>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560" w:lineRule="exact"/>
        <w:jc w:val="center"/>
        <w:textAlignment w:val="auto"/>
        <w:rPr>
          <w:rFonts w:ascii="黑体" w:eastAsia="黑体"/>
          <w:color w:val="auto"/>
          <w:sz w:val="32"/>
          <w:szCs w:val="32"/>
        </w:rPr>
      </w:pPr>
      <w:r>
        <w:rPr>
          <w:rFonts w:ascii="黑体" w:eastAsia="黑体"/>
          <w:b/>
          <w:color w:val="auto"/>
          <w:sz w:val="32"/>
          <w:szCs w:val="32"/>
        </w:rPr>
        <w:t>目录</w:t>
      </w:r>
    </w:p>
    <w:p>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560" w:lineRule="exact"/>
        <w:jc w:val="left"/>
        <w:textAlignment w:val="auto"/>
        <w:rPr>
          <w:rFonts w:ascii="仿宋_GB2312" w:eastAsia="仿宋_GB2312"/>
          <w:color w:val="auto"/>
          <w:sz w:val="32"/>
          <w:szCs w:val="32"/>
        </w:rPr>
      </w:pPr>
      <w:r>
        <w:rPr>
          <w:rFonts w:ascii="仿宋_GB2312" w:eastAsia="仿宋_GB2312"/>
          <w:b/>
          <w:color w:val="auto"/>
          <w:sz w:val="32"/>
          <w:szCs w:val="32"/>
        </w:rPr>
        <w:t>第一部分单位概况</w:t>
      </w:r>
    </w:p>
    <w:p>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560" w:lineRule="exact"/>
        <w:jc w:val="left"/>
        <w:textAlignment w:val="auto"/>
        <w:rPr>
          <w:rFonts w:ascii="仿宋_GB2312" w:eastAsia="仿宋_GB2312"/>
          <w:color w:val="auto"/>
          <w:sz w:val="32"/>
          <w:szCs w:val="32"/>
        </w:rPr>
      </w:pPr>
      <w:r>
        <w:rPr>
          <w:rFonts w:ascii="仿宋_GB2312" w:eastAsia="仿宋_GB2312"/>
          <w:b w:val="0"/>
          <w:color w:val="auto"/>
          <w:sz w:val="32"/>
          <w:szCs w:val="32"/>
        </w:rPr>
        <w:t>一、主要职能</w:t>
      </w:r>
    </w:p>
    <w:p>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560" w:lineRule="exact"/>
        <w:jc w:val="left"/>
        <w:textAlignment w:val="auto"/>
        <w:rPr>
          <w:rFonts w:ascii="仿宋_GB2312" w:eastAsia="仿宋_GB2312"/>
          <w:color w:val="auto"/>
          <w:sz w:val="32"/>
          <w:szCs w:val="32"/>
        </w:rPr>
      </w:pPr>
      <w:r>
        <w:rPr>
          <w:rFonts w:ascii="仿宋_GB2312" w:eastAsia="仿宋_GB2312"/>
          <w:b w:val="0"/>
          <w:color w:val="auto"/>
          <w:sz w:val="32"/>
          <w:szCs w:val="32"/>
        </w:rPr>
        <w:t>二、机构设置及人员情况</w:t>
      </w:r>
    </w:p>
    <w:p>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560" w:lineRule="exact"/>
        <w:jc w:val="left"/>
        <w:textAlignment w:val="auto"/>
        <w:rPr>
          <w:rFonts w:ascii="仿宋_GB2312" w:eastAsia="仿宋_GB2312"/>
          <w:color w:val="auto"/>
          <w:sz w:val="32"/>
          <w:szCs w:val="32"/>
        </w:rPr>
      </w:pPr>
      <w:r>
        <w:rPr>
          <w:rFonts w:ascii="仿宋_GB2312" w:eastAsia="仿宋_GB2312"/>
          <w:b/>
          <w:color w:val="auto"/>
          <w:sz w:val="32"/>
          <w:szCs w:val="32"/>
        </w:rPr>
        <w:t>第二部分部门决算情况说明</w:t>
      </w:r>
    </w:p>
    <w:p>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560" w:lineRule="exact"/>
        <w:jc w:val="left"/>
        <w:textAlignment w:val="auto"/>
        <w:rPr>
          <w:rFonts w:ascii="仿宋_GB2312" w:eastAsia="仿宋_GB2312"/>
          <w:color w:val="auto"/>
          <w:sz w:val="32"/>
          <w:szCs w:val="32"/>
        </w:rPr>
      </w:pPr>
      <w:r>
        <w:rPr>
          <w:rFonts w:ascii="仿宋_GB2312" w:eastAsia="仿宋_GB2312"/>
          <w:b w:val="0"/>
          <w:color w:val="auto"/>
          <w:sz w:val="32"/>
          <w:szCs w:val="32"/>
        </w:rPr>
        <w:t>一、收入支出决算总体情况说明</w:t>
      </w:r>
    </w:p>
    <w:p>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560" w:lineRule="exact"/>
        <w:jc w:val="left"/>
        <w:textAlignment w:val="auto"/>
        <w:rPr>
          <w:rFonts w:ascii="仿宋_GB2312" w:eastAsia="仿宋_GB2312"/>
          <w:color w:val="auto"/>
          <w:sz w:val="32"/>
          <w:szCs w:val="32"/>
        </w:rPr>
      </w:pPr>
      <w:r>
        <w:rPr>
          <w:rFonts w:ascii="仿宋_GB2312" w:eastAsia="仿宋_GB2312"/>
          <w:b w:val="0"/>
          <w:color w:val="auto"/>
          <w:sz w:val="32"/>
          <w:szCs w:val="32"/>
        </w:rPr>
        <w:t>二、收入决算情况说明</w:t>
      </w:r>
    </w:p>
    <w:p>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560" w:lineRule="exact"/>
        <w:jc w:val="left"/>
        <w:textAlignment w:val="auto"/>
        <w:rPr>
          <w:rFonts w:ascii="仿宋_GB2312" w:eastAsia="仿宋_GB2312"/>
          <w:color w:val="auto"/>
          <w:sz w:val="32"/>
          <w:szCs w:val="32"/>
        </w:rPr>
      </w:pPr>
      <w:r>
        <w:rPr>
          <w:rFonts w:ascii="仿宋_GB2312" w:eastAsia="仿宋_GB2312"/>
          <w:b w:val="0"/>
          <w:color w:val="auto"/>
          <w:sz w:val="32"/>
          <w:szCs w:val="32"/>
        </w:rPr>
        <w:t>三、支出决算情况说明</w:t>
      </w:r>
    </w:p>
    <w:p>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560" w:lineRule="exact"/>
        <w:jc w:val="left"/>
        <w:textAlignment w:val="auto"/>
        <w:rPr>
          <w:rFonts w:ascii="仿宋_GB2312" w:eastAsia="仿宋_GB2312"/>
          <w:color w:val="auto"/>
          <w:sz w:val="32"/>
          <w:szCs w:val="32"/>
        </w:rPr>
      </w:pPr>
      <w:r>
        <w:rPr>
          <w:rFonts w:ascii="仿宋_GB2312" w:eastAsia="仿宋_GB2312"/>
          <w:b w:val="0"/>
          <w:color w:val="auto"/>
          <w:sz w:val="32"/>
          <w:szCs w:val="32"/>
        </w:rPr>
        <w:t>四、财政拨款收入支出决算总体情况说明</w:t>
      </w:r>
    </w:p>
    <w:p>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560" w:lineRule="exact"/>
        <w:jc w:val="left"/>
        <w:textAlignment w:val="auto"/>
        <w:rPr>
          <w:rFonts w:ascii="仿宋_GB2312" w:eastAsia="仿宋_GB2312"/>
          <w:color w:val="auto"/>
          <w:sz w:val="32"/>
          <w:szCs w:val="32"/>
        </w:rPr>
      </w:pPr>
      <w:r>
        <w:rPr>
          <w:rFonts w:ascii="仿宋_GB2312" w:eastAsia="仿宋_GB2312"/>
          <w:b w:val="0"/>
          <w:color w:val="auto"/>
          <w:sz w:val="32"/>
          <w:szCs w:val="32"/>
        </w:rPr>
        <w:t>五、一般公共预算财政拨款支出决算情况说明</w:t>
      </w:r>
    </w:p>
    <w:p>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560" w:lineRule="exact"/>
        <w:jc w:val="left"/>
        <w:textAlignment w:val="auto"/>
        <w:rPr>
          <w:rFonts w:ascii="仿宋_GB2312" w:eastAsia="仿宋_GB2312"/>
          <w:color w:val="auto"/>
          <w:sz w:val="32"/>
          <w:szCs w:val="32"/>
        </w:rPr>
      </w:pPr>
      <w:r>
        <w:rPr>
          <w:rFonts w:ascii="仿宋_GB2312" w:eastAsia="仿宋_GB2312"/>
          <w:b w:val="0"/>
          <w:color w:val="auto"/>
          <w:sz w:val="32"/>
          <w:szCs w:val="32"/>
        </w:rPr>
        <w:t>（一）一般公共预算财政拨款支出决算总体情况</w:t>
      </w:r>
    </w:p>
    <w:p>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560" w:lineRule="exact"/>
        <w:jc w:val="left"/>
        <w:textAlignment w:val="auto"/>
        <w:rPr>
          <w:rFonts w:ascii="仿宋_GB2312" w:eastAsia="仿宋_GB2312"/>
          <w:color w:val="auto"/>
          <w:sz w:val="32"/>
          <w:szCs w:val="32"/>
        </w:rPr>
      </w:pPr>
      <w:r>
        <w:rPr>
          <w:rFonts w:ascii="仿宋_GB2312" w:eastAsia="仿宋_GB2312"/>
          <w:b w:val="0"/>
          <w:color w:val="auto"/>
          <w:sz w:val="32"/>
          <w:szCs w:val="32"/>
        </w:rPr>
        <w:t>（二）一般公共预算财政拨款支出决算结构情况</w:t>
      </w:r>
    </w:p>
    <w:p>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560" w:lineRule="exact"/>
        <w:jc w:val="left"/>
        <w:textAlignment w:val="auto"/>
        <w:rPr>
          <w:rFonts w:ascii="仿宋_GB2312" w:eastAsia="仿宋_GB2312"/>
          <w:color w:val="auto"/>
          <w:sz w:val="32"/>
          <w:szCs w:val="32"/>
        </w:rPr>
      </w:pPr>
      <w:r>
        <w:rPr>
          <w:rFonts w:ascii="仿宋_GB2312" w:eastAsia="仿宋_GB2312"/>
          <w:b w:val="0"/>
          <w:color w:val="auto"/>
          <w:sz w:val="32"/>
          <w:szCs w:val="32"/>
        </w:rPr>
        <w:t>（三）一般公共预算财政拨款支出决算具体情况</w:t>
      </w:r>
    </w:p>
    <w:p>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560" w:lineRule="exact"/>
        <w:jc w:val="left"/>
        <w:textAlignment w:val="auto"/>
        <w:rPr>
          <w:rFonts w:ascii="仿宋_GB2312" w:eastAsia="仿宋_GB2312"/>
          <w:color w:val="auto"/>
          <w:sz w:val="32"/>
          <w:szCs w:val="32"/>
        </w:rPr>
      </w:pPr>
      <w:r>
        <w:rPr>
          <w:rFonts w:ascii="仿宋_GB2312" w:eastAsia="仿宋_GB2312"/>
          <w:b w:val="0"/>
          <w:color w:val="auto"/>
          <w:sz w:val="32"/>
          <w:szCs w:val="32"/>
        </w:rPr>
        <w:t>六、一般公共预算财政拨款基本支出决算情况说明</w:t>
      </w:r>
    </w:p>
    <w:p>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560" w:lineRule="exact"/>
        <w:jc w:val="left"/>
        <w:textAlignment w:val="auto"/>
        <w:rPr>
          <w:rFonts w:ascii="仿宋_GB2312" w:eastAsia="仿宋_GB2312"/>
          <w:color w:val="auto"/>
          <w:sz w:val="32"/>
          <w:szCs w:val="32"/>
        </w:rPr>
      </w:pPr>
      <w:r>
        <w:rPr>
          <w:rFonts w:ascii="仿宋_GB2312" w:eastAsia="仿宋_GB2312"/>
          <w:b w:val="0"/>
          <w:color w:val="auto"/>
          <w:sz w:val="32"/>
          <w:szCs w:val="32"/>
        </w:rPr>
        <w:t>七、政府性基金预算财政拨款收入支出决算情况说明</w:t>
      </w:r>
    </w:p>
    <w:p>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560" w:lineRule="exact"/>
        <w:jc w:val="left"/>
        <w:textAlignment w:val="auto"/>
        <w:rPr>
          <w:rFonts w:ascii="仿宋_GB2312" w:eastAsia="仿宋_GB2312"/>
          <w:color w:val="auto"/>
          <w:sz w:val="32"/>
          <w:szCs w:val="32"/>
        </w:rPr>
      </w:pPr>
      <w:r>
        <w:rPr>
          <w:rFonts w:ascii="仿宋_GB2312" w:eastAsia="仿宋_GB2312"/>
          <w:b w:val="0"/>
          <w:color w:val="auto"/>
          <w:sz w:val="32"/>
          <w:szCs w:val="32"/>
        </w:rPr>
        <w:t>八、国有资本经营预算财政拨款收入支出决算情况说明</w:t>
      </w:r>
    </w:p>
    <w:p>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560" w:lineRule="exact"/>
        <w:jc w:val="left"/>
        <w:textAlignment w:val="auto"/>
        <w:rPr>
          <w:rFonts w:ascii="仿宋_GB2312" w:eastAsia="仿宋_GB2312"/>
          <w:color w:val="auto"/>
          <w:sz w:val="32"/>
          <w:szCs w:val="32"/>
        </w:rPr>
      </w:pPr>
      <w:r>
        <w:rPr>
          <w:rFonts w:ascii="仿宋_GB2312" w:eastAsia="仿宋_GB2312"/>
          <w:b w:val="0"/>
          <w:color w:val="auto"/>
          <w:sz w:val="32"/>
          <w:szCs w:val="32"/>
        </w:rPr>
        <w:t>九、财政拨款</w:t>
      </w:r>
      <w:r>
        <w:rPr>
          <w:rFonts w:hint="eastAsia" w:ascii="仿宋_GB2312" w:eastAsia="仿宋_GB2312"/>
          <w:b w:val="0"/>
          <w:color w:val="auto"/>
          <w:sz w:val="32"/>
          <w:szCs w:val="32"/>
          <w:lang w:eastAsia="zh-CN"/>
        </w:rPr>
        <w:t>“</w:t>
      </w:r>
      <w:r>
        <w:rPr>
          <w:rFonts w:ascii="仿宋_GB2312" w:eastAsia="仿宋_GB2312"/>
          <w:b w:val="0"/>
          <w:color w:val="auto"/>
          <w:sz w:val="32"/>
          <w:szCs w:val="32"/>
        </w:rPr>
        <w:t>三公</w:t>
      </w:r>
      <w:r>
        <w:rPr>
          <w:rFonts w:hint="eastAsia" w:ascii="仿宋_GB2312" w:eastAsia="仿宋_GB2312"/>
          <w:b w:val="0"/>
          <w:color w:val="auto"/>
          <w:sz w:val="32"/>
          <w:szCs w:val="32"/>
          <w:lang w:eastAsia="zh-CN"/>
        </w:rPr>
        <w:t>”</w:t>
      </w:r>
      <w:r>
        <w:rPr>
          <w:rFonts w:ascii="仿宋_GB2312" w:eastAsia="仿宋_GB2312"/>
          <w:b w:val="0"/>
          <w:color w:val="auto"/>
          <w:sz w:val="32"/>
          <w:szCs w:val="32"/>
        </w:rPr>
        <w:t>经费支出决算情况说明</w:t>
      </w:r>
    </w:p>
    <w:p>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560" w:lineRule="exact"/>
        <w:jc w:val="left"/>
        <w:textAlignment w:val="auto"/>
        <w:rPr>
          <w:rFonts w:ascii="仿宋_GB2312" w:eastAsia="仿宋_GB2312"/>
          <w:color w:val="auto"/>
          <w:sz w:val="32"/>
          <w:szCs w:val="32"/>
        </w:rPr>
      </w:pPr>
      <w:r>
        <w:rPr>
          <w:rFonts w:ascii="仿宋_GB2312" w:eastAsia="仿宋_GB2312"/>
          <w:b w:val="0"/>
          <w:color w:val="auto"/>
          <w:sz w:val="32"/>
          <w:szCs w:val="32"/>
        </w:rPr>
        <w:t>十、其他重要事项的情况说明</w:t>
      </w:r>
    </w:p>
    <w:p>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560" w:lineRule="exact"/>
        <w:jc w:val="left"/>
        <w:textAlignment w:val="auto"/>
        <w:rPr>
          <w:rFonts w:ascii="仿宋_GB2312" w:eastAsia="仿宋_GB2312"/>
          <w:color w:val="auto"/>
          <w:sz w:val="32"/>
          <w:szCs w:val="32"/>
        </w:rPr>
      </w:pPr>
      <w:r>
        <w:rPr>
          <w:rFonts w:ascii="仿宋_GB2312" w:eastAsia="仿宋_GB2312"/>
          <w:b w:val="0"/>
          <w:color w:val="auto"/>
          <w:sz w:val="32"/>
          <w:szCs w:val="32"/>
        </w:rPr>
        <w:t>（一）机关运行经费及公用经费支出情况</w:t>
      </w:r>
    </w:p>
    <w:p>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560" w:lineRule="exact"/>
        <w:jc w:val="left"/>
        <w:textAlignment w:val="auto"/>
        <w:rPr>
          <w:rFonts w:ascii="仿宋_GB2312" w:eastAsia="仿宋_GB2312"/>
          <w:color w:val="auto"/>
          <w:sz w:val="32"/>
          <w:szCs w:val="32"/>
        </w:rPr>
      </w:pPr>
      <w:r>
        <w:rPr>
          <w:rFonts w:ascii="仿宋_GB2312" w:eastAsia="仿宋_GB2312"/>
          <w:b w:val="0"/>
          <w:color w:val="auto"/>
          <w:sz w:val="32"/>
          <w:szCs w:val="32"/>
        </w:rPr>
        <w:t>（二）政府采购情况</w:t>
      </w:r>
    </w:p>
    <w:p>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560" w:lineRule="exact"/>
        <w:jc w:val="left"/>
        <w:textAlignment w:val="auto"/>
        <w:rPr>
          <w:rFonts w:ascii="仿宋_GB2312" w:eastAsia="仿宋_GB2312"/>
          <w:color w:val="auto"/>
          <w:sz w:val="32"/>
          <w:szCs w:val="32"/>
        </w:rPr>
      </w:pPr>
      <w:r>
        <w:rPr>
          <w:rFonts w:ascii="仿宋_GB2312" w:eastAsia="仿宋_GB2312"/>
          <w:b w:val="0"/>
          <w:color w:val="auto"/>
          <w:sz w:val="32"/>
          <w:szCs w:val="32"/>
        </w:rPr>
        <w:t>（三）国有资产占用情况说明</w:t>
      </w:r>
    </w:p>
    <w:p>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560" w:lineRule="exact"/>
        <w:jc w:val="left"/>
        <w:textAlignment w:val="auto"/>
        <w:rPr>
          <w:rFonts w:ascii="仿宋_GB2312" w:eastAsia="仿宋_GB2312"/>
          <w:color w:val="auto"/>
          <w:sz w:val="32"/>
          <w:szCs w:val="32"/>
        </w:rPr>
      </w:pPr>
      <w:r>
        <w:rPr>
          <w:rFonts w:ascii="仿宋_GB2312" w:eastAsia="仿宋_GB2312"/>
          <w:b w:val="0"/>
          <w:color w:val="auto"/>
          <w:sz w:val="32"/>
          <w:szCs w:val="32"/>
        </w:rPr>
        <w:t>十一、预算绩效的情况说明</w:t>
      </w:r>
    </w:p>
    <w:p>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560" w:lineRule="exact"/>
        <w:jc w:val="left"/>
        <w:textAlignment w:val="auto"/>
        <w:rPr>
          <w:rFonts w:ascii="仿宋_GB2312" w:eastAsia="仿宋_GB2312"/>
          <w:color w:val="auto"/>
          <w:sz w:val="32"/>
          <w:szCs w:val="32"/>
        </w:rPr>
      </w:pPr>
      <w:r>
        <w:rPr>
          <w:rFonts w:ascii="仿宋_GB2312" w:eastAsia="仿宋_GB2312"/>
          <w:b w:val="0"/>
          <w:color w:val="auto"/>
          <w:sz w:val="32"/>
          <w:szCs w:val="32"/>
        </w:rPr>
        <w:t>十二、其他需说明的事项</w:t>
      </w:r>
    </w:p>
    <w:p>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560" w:lineRule="exact"/>
        <w:jc w:val="left"/>
        <w:textAlignment w:val="auto"/>
        <w:rPr>
          <w:rFonts w:ascii="仿宋_GB2312" w:eastAsia="仿宋_GB2312"/>
          <w:color w:val="auto"/>
          <w:sz w:val="32"/>
          <w:szCs w:val="32"/>
        </w:rPr>
      </w:pPr>
      <w:r>
        <w:rPr>
          <w:rFonts w:ascii="仿宋_GB2312" w:eastAsia="仿宋_GB2312"/>
          <w:b/>
          <w:color w:val="auto"/>
          <w:sz w:val="32"/>
          <w:szCs w:val="32"/>
        </w:rPr>
        <w:t>第三部分专业名词解释</w:t>
      </w:r>
    </w:p>
    <w:p>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560" w:lineRule="exact"/>
        <w:jc w:val="left"/>
        <w:textAlignment w:val="auto"/>
        <w:rPr>
          <w:rFonts w:ascii="仿宋_GB2312" w:eastAsia="仿宋_GB2312"/>
          <w:color w:val="auto"/>
          <w:sz w:val="32"/>
          <w:szCs w:val="32"/>
        </w:rPr>
      </w:pPr>
      <w:r>
        <w:rPr>
          <w:rFonts w:ascii="仿宋_GB2312" w:eastAsia="仿宋_GB2312"/>
          <w:b/>
          <w:color w:val="auto"/>
          <w:sz w:val="32"/>
          <w:szCs w:val="32"/>
        </w:rPr>
        <w:t>第四部分部门决算报表（见附表）</w:t>
      </w:r>
    </w:p>
    <w:p>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560" w:lineRule="exact"/>
        <w:jc w:val="left"/>
        <w:textAlignment w:val="auto"/>
        <w:rPr>
          <w:rFonts w:ascii="仿宋_GB2312" w:eastAsia="仿宋_GB2312"/>
          <w:color w:val="auto"/>
          <w:sz w:val="32"/>
          <w:szCs w:val="32"/>
        </w:rPr>
      </w:pPr>
      <w:r>
        <w:rPr>
          <w:rFonts w:ascii="仿宋_GB2312" w:eastAsia="仿宋_GB2312"/>
          <w:b w:val="0"/>
          <w:color w:val="auto"/>
          <w:sz w:val="32"/>
          <w:szCs w:val="32"/>
        </w:rPr>
        <w:t>一、《收入支出决算总表》</w:t>
      </w:r>
    </w:p>
    <w:p>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560" w:lineRule="exact"/>
        <w:jc w:val="left"/>
        <w:textAlignment w:val="auto"/>
        <w:rPr>
          <w:rFonts w:ascii="仿宋_GB2312" w:eastAsia="仿宋_GB2312"/>
          <w:color w:val="auto"/>
          <w:sz w:val="32"/>
          <w:szCs w:val="32"/>
        </w:rPr>
      </w:pPr>
      <w:r>
        <w:rPr>
          <w:rFonts w:ascii="仿宋_GB2312" w:eastAsia="仿宋_GB2312"/>
          <w:b w:val="0"/>
          <w:color w:val="auto"/>
          <w:sz w:val="32"/>
          <w:szCs w:val="32"/>
        </w:rPr>
        <w:t>二、《收入决算表》</w:t>
      </w:r>
    </w:p>
    <w:p>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560" w:lineRule="exact"/>
        <w:jc w:val="left"/>
        <w:textAlignment w:val="auto"/>
        <w:rPr>
          <w:rFonts w:ascii="仿宋_GB2312" w:eastAsia="仿宋_GB2312"/>
          <w:color w:val="auto"/>
          <w:sz w:val="32"/>
          <w:szCs w:val="32"/>
        </w:rPr>
      </w:pPr>
      <w:r>
        <w:rPr>
          <w:rFonts w:ascii="仿宋_GB2312" w:eastAsia="仿宋_GB2312"/>
          <w:b w:val="0"/>
          <w:color w:val="auto"/>
          <w:sz w:val="32"/>
          <w:szCs w:val="32"/>
        </w:rPr>
        <w:t>三、《支出决算表》</w:t>
      </w:r>
    </w:p>
    <w:p>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560" w:lineRule="exact"/>
        <w:jc w:val="left"/>
        <w:textAlignment w:val="auto"/>
        <w:rPr>
          <w:rFonts w:ascii="仿宋_GB2312" w:eastAsia="仿宋_GB2312"/>
          <w:color w:val="auto"/>
          <w:sz w:val="32"/>
          <w:szCs w:val="32"/>
        </w:rPr>
      </w:pPr>
      <w:r>
        <w:rPr>
          <w:rFonts w:ascii="仿宋_GB2312" w:eastAsia="仿宋_GB2312"/>
          <w:b w:val="0"/>
          <w:color w:val="auto"/>
          <w:sz w:val="32"/>
          <w:szCs w:val="32"/>
        </w:rPr>
        <w:t>四、《财政拨款收入支出决算总表》</w:t>
      </w:r>
    </w:p>
    <w:p>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560" w:lineRule="exact"/>
        <w:jc w:val="left"/>
        <w:textAlignment w:val="auto"/>
        <w:rPr>
          <w:rFonts w:ascii="仿宋_GB2312" w:eastAsia="仿宋_GB2312"/>
          <w:color w:val="auto"/>
          <w:sz w:val="32"/>
          <w:szCs w:val="32"/>
        </w:rPr>
      </w:pPr>
      <w:r>
        <w:rPr>
          <w:rFonts w:ascii="仿宋_GB2312" w:eastAsia="仿宋_GB2312"/>
          <w:b w:val="0"/>
          <w:color w:val="auto"/>
          <w:sz w:val="32"/>
          <w:szCs w:val="32"/>
        </w:rPr>
        <w:t>五、《一般公共预算财政拨款支出决算表》</w:t>
      </w:r>
    </w:p>
    <w:p>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560" w:lineRule="exact"/>
        <w:jc w:val="left"/>
        <w:textAlignment w:val="auto"/>
        <w:rPr>
          <w:rFonts w:ascii="仿宋_GB2312" w:eastAsia="仿宋_GB2312"/>
          <w:color w:val="auto"/>
          <w:sz w:val="32"/>
          <w:szCs w:val="32"/>
        </w:rPr>
      </w:pPr>
      <w:r>
        <w:rPr>
          <w:rFonts w:ascii="仿宋_GB2312" w:eastAsia="仿宋_GB2312"/>
          <w:b w:val="0"/>
          <w:color w:val="auto"/>
          <w:sz w:val="32"/>
          <w:szCs w:val="32"/>
        </w:rPr>
        <w:t>六、《一般公共预算财政拨款基本支出决算表》</w:t>
      </w:r>
    </w:p>
    <w:p>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560" w:lineRule="exact"/>
        <w:jc w:val="left"/>
        <w:textAlignment w:val="auto"/>
        <w:rPr>
          <w:rFonts w:ascii="仿宋_GB2312" w:eastAsia="仿宋_GB2312"/>
          <w:color w:val="auto"/>
          <w:sz w:val="32"/>
          <w:szCs w:val="32"/>
        </w:rPr>
      </w:pPr>
      <w:r>
        <w:rPr>
          <w:rFonts w:ascii="仿宋_GB2312" w:eastAsia="仿宋_GB2312"/>
          <w:b w:val="0"/>
          <w:color w:val="auto"/>
          <w:sz w:val="32"/>
          <w:szCs w:val="32"/>
        </w:rPr>
        <w:t>七、《政府性基金预算财政拨款收入支出决算表》</w:t>
      </w:r>
    </w:p>
    <w:p>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560" w:lineRule="exact"/>
        <w:jc w:val="left"/>
        <w:textAlignment w:val="auto"/>
        <w:rPr>
          <w:rFonts w:ascii="仿宋_GB2312" w:eastAsia="仿宋_GB2312"/>
          <w:color w:val="auto"/>
          <w:sz w:val="32"/>
          <w:szCs w:val="32"/>
        </w:rPr>
      </w:pPr>
      <w:r>
        <w:rPr>
          <w:rFonts w:ascii="仿宋_GB2312" w:eastAsia="仿宋_GB2312"/>
          <w:b w:val="0"/>
          <w:color w:val="auto"/>
          <w:sz w:val="32"/>
          <w:szCs w:val="32"/>
        </w:rPr>
        <w:t>八、《国有资本经营预算财政拨款收入支出决算表》</w:t>
      </w:r>
    </w:p>
    <w:p>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560" w:lineRule="exact"/>
        <w:jc w:val="left"/>
        <w:textAlignment w:val="auto"/>
        <w:rPr>
          <w:rFonts w:ascii="仿宋_GB2312" w:eastAsia="仿宋_GB2312"/>
          <w:color w:val="auto"/>
          <w:sz w:val="32"/>
          <w:szCs w:val="32"/>
        </w:rPr>
      </w:pPr>
      <w:r>
        <w:rPr>
          <w:rFonts w:ascii="仿宋_GB2312" w:eastAsia="仿宋_GB2312"/>
          <w:b w:val="0"/>
          <w:color w:val="auto"/>
          <w:sz w:val="32"/>
          <w:szCs w:val="32"/>
        </w:rPr>
        <w:t>九、《财政拨款</w:t>
      </w:r>
      <w:r>
        <w:rPr>
          <w:rFonts w:hint="eastAsia" w:ascii="仿宋_GB2312" w:eastAsia="仿宋_GB2312"/>
          <w:b w:val="0"/>
          <w:color w:val="auto"/>
          <w:sz w:val="32"/>
          <w:szCs w:val="32"/>
          <w:lang w:eastAsia="zh-CN"/>
        </w:rPr>
        <w:t>“</w:t>
      </w:r>
      <w:r>
        <w:rPr>
          <w:rFonts w:ascii="仿宋_GB2312" w:eastAsia="仿宋_GB2312"/>
          <w:b w:val="0"/>
          <w:color w:val="auto"/>
          <w:sz w:val="32"/>
          <w:szCs w:val="32"/>
        </w:rPr>
        <w:t>三公</w:t>
      </w:r>
      <w:r>
        <w:rPr>
          <w:rFonts w:hint="eastAsia" w:ascii="仿宋_GB2312" w:eastAsia="仿宋_GB2312"/>
          <w:b w:val="0"/>
          <w:color w:val="auto"/>
          <w:sz w:val="32"/>
          <w:szCs w:val="32"/>
          <w:lang w:eastAsia="zh-CN"/>
        </w:rPr>
        <w:t>”</w:t>
      </w:r>
      <w:r>
        <w:rPr>
          <w:rFonts w:ascii="仿宋_GB2312" w:eastAsia="仿宋_GB2312"/>
          <w:b w:val="0"/>
          <w:color w:val="auto"/>
          <w:sz w:val="32"/>
          <w:szCs w:val="32"/>
        </w:rPr>
        <w:t>经费支出决算表》</w:t>
      </w:r>
    </w:p>
    <w:p>
      <w:pPr>
        <w:keepNext w:val="0"/>
        <w:keepLines w:val="0"/>
        <w:pageBreakBefore w:val="0"/>
        <w:widowControl/>
        <w:kinsoku/>
        <w:wordWrap/>
        <w:overflowPunct/>
        <w:topLinePunct w:val="0"/>
        <w:autoSpaceDE/>
        <w:autoSpaceDN/>
        <w:bidi w:val="0"/>
        <w:adjustRightInd/>
        <w:snapToGrid w:val="0"/>
        <w:spacing w:line="560" w:lineRule="exact"/>
        <w:textAlignment w:val="auto"/>
        <w:rPr>
          <w:color w:val="auto"/>
        </w:rPr>
      </w:pPr>
      <w:r>
        <w:rPr>
          <w:b w:val="0"/>
          <w:color w:val="auto"/>
          <w:sz w:val="0"/>
          <w:szCs w:val="0"/>
        </w:rPr>
        <w:br w:type="page"/>
      </w:r>
    </w:p>
    <w:p>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560" w:lineRule="exact"/>
        <w:jc w:val="center"/>
        <w:textAlignment w:val="auto"/>
        <w:outlineLvl w:val="0"/>
        <w:rPr>
          <w:rFonts w:ascii="黑体" w:eastAsia="黑体"/>
          <w:color w:val="auto"/>
          <w:sz w:val="32"/>
          <w:szCs w:val="32"/>
        </w:rPr>
      </w:pPr>
      <w:r>
        <w:rPr>
          <w:rFonts w:ascii="黑体" w:eastAsia="黑体"/>
          <w:b w:val="0"/>
          <w:color w:val="auto"/>
          <w:sz w:val="32"/>
          <w:szCs w:val="32"/>
        </w:rPr>
        <w:t>第一部分单位概况</w:t>
      </w:r>
    </w:p>
    <w:p>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560" w:lineRule="exact"/>
        <w:ind w:firstLine="640" w:firstLineChars="200"/>
        <w:jc w:val="left"/>
        <w:textAlignment w:val="auto"/>
        <w:outlineLvl w:val="1"/>
        <w:rPr>
          <w:rFonts w:ascii="黑体" w:eastAsia="黑体"/>
          <w:color w:val="auto"/>
          <w:sz w:val="32"/>
          <w:szCs w:val="32"/>
        </w:rPr>
      </w:pPr>
      <w:r>
        <w:rPr>
          <w:rFonts w:ascii="黑体" w:eastAsia="黑体"/>
          <w:b w:val="0"/>
          <w:color w:val="auto"/>
          <w:sz w:val="32"/>
          <w:szCs w:val="32"/>
        </w:rPr>
        <w:t>一、主要职能</w:t>
      </w:r>
    </w:p>
    <w:p>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560" w:lineRule="exact"/>
        <w:ind w:firstLine="640" w:firstLineChars="200"/>
        <w:jc w:val="both"/>
        <w:textAlignment w:val="auto"/>
        <w:rPr>
          <w:rFonts w:hint="eastAsia" w:ascii="仿宋_GB2312" w:eastAsia="仿宋_GB2312"/>
          <w:color w:val="auto"/>
          <w:sz w:val="32"/>
          <w:szCs w:val="32"/>
        </w:rPr>
      </w:pPr>
      <w:r>
        <w:rPr>
          <w:rFonts w:hint="eastAsia" w:ascii="仿宋_GB2312" w:eastAsia="仿宋_GB2312"/>
          <w:color w:val="auto"/>
          <w:sz w:val="32"/>
          <w:szCs w:val="32"/>
        </w:rPr>
        <w:t>自治区粮食和物资储备局是自治区发展和改革委员会管理的部门机构，为副厅级。</w:t>
      </w:r>
    </w:p>
    <w:p>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560" w:lineRule="exact"/>
        <w:ind w:firstLine="640" w:firstLineChars="200"/>
        <w:jc w:val="both"/>
        <w:textAlignment w:val="auto"/>
        <w:rPr>
          <w:rFonts w:hint="eastAsia" w:ascii="仿宋_GB2312" w:eastAsia="仿宋_GB2312"/>
          <w:color w:val="auto"/>
          <w:sz w:val="32"/>
          <w:szCs w:val="32"/>
        </w:rPr>
      </w:pPr>
      <w:r>
        <w:rPr>
          <w:rFonts w:hint="eastAsia" w:ascii="仿宋_GB2312" w:eastAsia="仿宋_GB2312"/>
          <w:color w:val="auto"/>
          <w:sz w:val="32"/>
          <w:szCs w:val="32"/>
        </w:rPr>
        <w:t>自治区粮食和物资储备局贯彻落实党中央关于粮食和物资储备工作的方针政策和决策部署以及自治区党委工作要求，在履行职责过程中坚持和加强党对粮食和物资储备工作的集中统一领导。主要职责是:</w:t>
      </w:r>
    </w:p>
    <w:p>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560" w:lineRule="exact"/>
        <w:ind w:firstLine="640" w:firstLineChars="200"/>
        <w:jc w:val="both"/>
        <w:textAlignment w:val="auto"/>
        <w:rPr>
          <w:rFonts w:hint="eastAsia" w:ascii="仿宋_GB2312" w:eastAsia="仿宋_GB2312"/>
          <w:color w:val="auto"/>
          <w:sz w:val="32"/>
          <w:szCs w:val="32"/>
        </w:rPr>
      </w:pPr>
      <w:r>
        <w:rPr>
          <w:rFonts w:hint="eastAsia" w:ascii="仿宋_GB2312" w:eastAsia="仿宋_GB2312"/>
          <w:color w:val="auto"/>
          <w:sz w:val="32"/>
          <w:szCs w:val="32"/>
        </w:rPr>
        <w:t>(一)贯彻执行国家、自治区粮食和物资储备的方针政策和法律法规，拟订粮食流通、地方储备粮油和物资储备管理的法规、规章草案和有关政策。</w:t>
      </w:r>
    </w:p>
    <w:p>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560" w:lineRule="exact"/>
        <w:ind w:firstLine="640" w:firstLineChars="200"/>
        <w:jc w:val="both"/>
        <w:textAlignment w:val="auto"/>
        <w:rPr>
          <w:rFonts w:hint="eastAsia" w:ascii="仿宋_GB2312" w:eastAsia="仿宋_GB2312"/>
          <w:color w:val="auto"/>
          <w:sz w:val="32"/>
          <w:szCs w:val="32"/>
        </w:rPr>
      </w:pPr>
      <w:r>
        <w:rPr>
          <w:rFonts w:hint="eastAsia" w:ascii="仿宋_GB2312" w:eastAsia="仿宋_GB2312"/>
          <w:color w:val="auto"/>
          <w:sz w:val="32"/>
          <w:szCs w:val="32"/>
        </w:rPr>
        <w:t>(二)研究提出地方储备粮油和物资储备规划、储备品种目录的建议;负责编制粮油、棉花、食糖、食盐等重要商品储备、轮换和投放计划;组织实施地方储备粮油、棉花、食糖、食盐等物资的储备、轮换和日常管理;承担中央级生活类救灾物资储备管理及自治区救灾物资采购和储备管理工作，落实有关动用计划和指令。</w:t>
      </w:r>
    </w:p>
    <w:p>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560" w:lineRule="exact"/>
        <w:ind w:firstLine="640" w:firstLineChars="200"/>
        <w:jc w:val="both"/>
        <w:textAlignment w:val="auto"/>
        <w:rPr>
          <w:rFonts w:hint="eastAsia" w:ascii="仿宋_GB2312" w:eastAsia="仿宋_GB2312"/>
          <w:color w:val="auto"/>
          <w:sz w:val="32"/>
          <w:szCs w:val="32"/>
        </w:rPr>
      </w:pPr>
      <w:r>
        <w:rPr>
          <w:rFonts w:hint="eastAsia" w:ascii="仿宋_GB2312" w:eastAsia="仿宋_GB2312"/>
          <w:color w:val="auto"/>
          <w:sz w:val="32"/>
          <w:szCs w:val="32"/>
        </w:rPr>
        <w:t>(三)负责自治区地方储备粮油行政管理工作，指导和协调地方储备粮油管理，研究提出地方储备粮油总体布局和收购、销售、轮换计划建议。承担粮食监测预警和应急责任，承担粮食安全省长责任制考核的日常工作。</w:t>
      </w:r>
    </w:p>
    <w:p>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560" w:lineRule="exact"/>
        <w:ind w:firstLine="640" w:firstLineChars="200"/>
        <w:jc w:val="both"/>
        <w:textAlignment w:val="auto"/>
        <w:rPr>
          <w:rFonts w:hint="eastAsia" w:ascii="仿宋_GB2312" w:eastAsia="仿宋_GB2312"/>
          <w:color w:val="auto"/>
          <w:sz w:val="32"/>
          <w:szCs w:val="32"/>
        </w:rPr>
      </w:pPr>
      <w:r>
        <w:rPr>
          <w:rFonts w:hint="eastAsia" w:ascii="仿宋_GB2312" w:eastAsia="仿宋_GB2312"/>
          <w:color w:val="auto"/>
          <w:sz w:val="32"/>
          <w:szCs w:val="32"/>
        </w:rPr>
        <w:t>(四)组织实施国家粮食和物资储备仓储管理有关技术标准和规范，指导粮食流通和物资储备承储单位安全生产工作。</w:t>
      </w:r>
    </w:p>
    <w:p>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560" w:lineRule="exact"/>
        <w:ind w:firstLine="640" w:firstLineChars="200"/>
        <w:jc w:val="both"/>
        <w:textAlignment w:val="auto"/>
        <w:rPr>
          <w:rFonts w:hint="eastAsia" w:ascii="仿宋_GB2312" w:eastAsia="仿宋_GB2312"/>
          <w:color w:val="auto"/>
          <w:sz w:val="32"/>
          <w:szCs w:val="32"/>
        </w:rPr>
      </w:pPr>
      <w:r>
        <w:rPr>
          <w:rFonts w:hint="eastAsia" w:ascii="仿宋_GB2312" w:eastAsia="仿宋_GB2312"/>
          <w:color w:val="auto"/>
          <w:sz w:val="32"/>
          <w:szCs w:val="32"/>
        </w:rPr>
        <w:t>(五)根据粮食和物资储备总体发展规划，统一负责储备基础设施建设和管理。拟订储备基础设施、粮食流通设施规划并组织实施，管理有关储备基础设施和粮食流通设施国家和自治区投资项目。</w:t>
      </w:r>
    </w:p>
    <w:p>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560" w:lineRule="exact"/>
        <w:ind w:firstLine="640" w:firstLineChars="200"/>
        <w:jc w:val="both"/>
        <w:textAlignment w:val="auto"/>
        <w:rPr>
          <w:rFonts w:hint="eastAsia" w:ascii="仿宋_GB2312" w:eastAsia="仿宋_GB2312"/>
          <w:color w:val="auto"/>
          <w:sz w:val="32"/>
          <w:szCs w:val="32"/>
        </w:rPr>
      </w:pPr>
      <w:r>
        <w:rPr>
          <w:rFonts w:hint="eastAsia" w:ascii="仿宋_GB2312" w:eastAsia="仿宋_GB2312"/>
          <w:color w:val="auto"/>
          <w:sz w:val="32"/>
          <w:szCs w:val="32"/>
        </w:rPr>
        <w:t>(六)负责对管理的政府储备、企业储备以及储备政策落实情况和粮食流通进行监督检查，负责粮食收购、储存、运输环节质量安全和原粮卫生的监督管理，组织实施粮食库存检查工作。</w:t>
      </w:r>
    </w:p>
    <w:p>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560" w:lineRule="exact"/>
        <w:ind w:firstLine="640" w:firstLineChars="200"/>
        <w:jc w:val="both"/>
        <w:textAlignment w:val="auto"/>
        <w:rPr>
          <w:rFonts w:hint="eastAsia" w:ascii="仿宋_GB2312" w:eastAsia="仿宋_GB2312"/>
          <w:color w:val="auto"/>
          <w:sz w:val="32"/>
          <w:szCs w:val="32"/>
        </w:rPr>
      </w:pPr>
      <w:r>
        <w:rPr>
          <w:rFonts w:hint="eastAsia" w:ascii="仿宋_GB2312" w:eastAsia="仿宋_GB2312"/>
          <w:color w:val="auto"/>
          <w:sz w:val="32"/>
          <w:szCs w:val="32"/>
        </w:rPr>
        <w:t>(七)负责粮食流通行政管理、行业指导，起草粮食行业发展规划，组织实施国家粮食流通和物资储备有关标准、粮食质量标准和技术规范，会同有关部门拟订粮食流通和物资储备有关地方标准和技术规范并监督执行。承担粮食流通的对外合作与交流。</w:t>
      </w:r>
    </w:p>
    <w:p>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560" w:lineRule="exact"/>
        <w:ind w:firstLine="640" w:firstLineChars="200"/>
        <w:jc w:val="both"/>
        <w:textAlignment w:val="auto"/>
        <w:rPr>
          <w:rFonts w:hint="eastAsia" w:ascii="仿宋_GB2312" w:eastAsia="仿宋_GB2312"/>
          <w:color w:val="auto"/>
          <w:sz w:val="32"/>
          <w:szCs w:val="32"/>
          <w:lang w:eastAsia="zh-CN"/>
        </w:rPr>
      </w:pPr>
      <w:r>
        <w:rPr>
          <w:rFonts w:hint="eastAsia" w:ascii="仿宋_GB2312" w:eastAsia="仿宋_GB2312"/>
          <w:color w:val="auto"/>
          <w:sz w:val="32"/>
          <w:szCs w:val="32"/>
        </w:rPr>
        <w:t>(八)完成自治区党委、自治区人民政府交办的其他任务</w:t>
      </w:r>
      <w:r>
        <w:rPr>
          <w:rFonts w:hint="eastAsia" w:ascii="仿宋_GB2312" w:eastAsia="仿宋_GB2312"/>
          <w:color w:val="auto"/>
          <w:sz w:val="32"/>
          <w:szCs w:val="32"/>
          <w:lang w:eastAsia="zh-CN"/>
        </w:rPr>
        <w:t>。</w:t>
      </w:r>
    </w:p>
    <w:p>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560" w:lineRule="exact"/>
        <w:ind w:firstLine="640" w:firstLineChars="200"/>
        <w:jc w:val="left"/>
        <w:textAlignment w:val="auto"/>
        <w:outlineLvl w:val="1"/>
        <w:rPr>
          <w:rFonts w:ascii="黑体" w:eastAsia="黑体"/>
          <w:color w:val="auto"/>
          <w:sz w:val="32"/>
          <w:szCs w:val="32"/>
        </w:rPr>
      </w:pPr>
      <w:r>
        <w:rPr>
          <w:rFonts w:ascii="黑体" w:eastAsia="黑体"/>
          <w:b w:val="0"/>
          <w:color w:val="auto"/>
          <w:sz w:val="32"/>
          <w:szCs w:val="32"/>
        </w:rPr>
        <w:t>二、机构设置及人员情况</w:t>
      </w:r>
    </w:p>
    <w:p>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560" w:lineRule="exact"/>
        <w:ind w:firstLine="640" w:firstLineChars="200"/>
        <w:jc w:val="both"/>
        <w:textAlignment w:val="auto"/>
        <w:rPr>
          <w:rFonts w:hint="eastAsia" w:ascii="仿宋_GB2312" w:eastAsia="仿宋_GB2312"/>
          <w:color w:val="auto"/>
          <w:sz w:val="32"/>
          <w:szCs w:val="32"/>
          <w:lang w:eastAsia="zh-CN"/>
        </w:rPr>
      </w:pPr>
      <w:r>
        <w:rPr>
          <w:rFonts w:ascii="仿宋_GB2312" w:eastAsia="仿宋_GB2312"/>
          <w:b w:val="0"/>
          <w:color w:val="auto"/>
          <w:sz w:val="32"/>
          <w:szCs w:val="32"/>
        </w:rPr>
        <w:t>新疆维吾尔自治区粮食和物资储备局（机关）2024年度，实有人数222人，其中：在职人员67人，减少2人；离休人员3人，减少2人；退休人员152人，</w:t>
      </w:r>
      <w:r>
        <w:rPr>
          <w:rFonts w:hint="eastAsia" w:ascii="仿宋_GB2312" w:eastAsia="仿宋_GB2312"/>
          <w:b w:val="0"/>
          <w:color w:val="auto"/>
          <w:sz w:val="32"/>
          <w:szCs w:val="32"/>
          <w:lang w:eastAsia="zh-CN"/>
        </w:rPr>
        <w:t>减少</w:t>
      </w:r>
      <w:r>
        <w:rPr>
          <w:rFonts w:hint="eastAsia" w:ascii="仿宋_GB2312" w:eastAsia="仿宋_GB2312"/>
          <w:b w:val="0"/>
          <w:color w:val="auto"/>
          <w:sz w:val="32"/>
          <w:szCs w:val="32"/>
          <w:lang w:val="en-US" w:eastAsia="zh-CN"/>
        </w:rPr>
        <w:t>0人</w:t>
      </w:r>
      <w:r>
        <w:rPr>
          <w:rFonts w:hint="eastAsia" w:ascii="仿宋_GB2312" w:eastAsia="仿宋_GB2312"/>
          <w:b w:val="0"/>
          <w:color w:val="auto"/>
          <w:sz w:val="32"/>
          <w:szCs w:val="32"/>
          <w:lang w:eastAsia="zh-CN"/>
        </w:rPr>
        <w:t>。</w:t>
      </w:r>
    </w:p>
    <w:p>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560" w:lineRule="exact"/>
        <w:ind w:firstLine="640" w:firstLineChars="200"/>
        <w:jc w:val="both"/>
        <w:textAlignment w:val="auto"/>
        <w:rPr>
          <w:rFonts w:ascii="仿宋_GB2312" w:eastAsia="仿宋_GB2312"/>
          <w:color w:val="auto"/>
          <w:sz w:val="32"/>
          <w:szCs w:val="32"/>
        </w:rPr>
      </w:pPr>
      <w:r>
        <w:rPr>
          <w:rFonts w:ascii="仿宋_GB2312" w:eastAsia="仿宋_GB2312"/>
          <w:b w:val="0"/>
          <w:color w:val="auto"/>
          <w:sz w:val="32"/>
          <w:szCs w:val="32"/>
        </w:rPr>
        <w:t>新疆维吾尔自治区粮食和物资储备局（机关）无下属预算单位，下设</w:t>
      </w:r>
      <w:r>
        <w:rPr>
          <w:rFonts w:hint="eastAsia" w:ascii="仿宋_GB2312" w:eastAsia="仿宋_GB2312"/>
          <w:b w:val="0"/>
          <w:color w:val="auto"/>
          <w:sz w:val="32"/>
          <w:szCs w:val="32"/>
          <w:lang w:val="en-US" w:eastAsia="zh-CN"/>
        </w:rPr>
        <w:t>11</w:t>
      </w:r>
      <w:r>
        <w:rPr>
          <w:rFonts w:ascii="仿宋_GB2312" w:eastAsia="仿宋_GB2312"/>
          <w:b w:val="0"/>
          <w:color w:val="auto"/>
          <w:sz w:val="32"/>
          <w:szCs w:val="32"/>
        </w:rPr>
        <w:t>个</w:t>
      </w:r>
      <w:r>
        <w:rPr>
          <w:rFonts w:hint="eastAsia" w:ascii="仿宋_GB2312" w:eastAsia="仿宋_GB2312"/>
          <w:b w:val="0"/>
          <w:color w:val="auto"/>
          <w:sz w:val="32"/>
          <w:szCs w:val="32"/>
          <w:lang w:eastAsia="zh-CN"/>
        </w:rPr>
        <w:t>处室</w:t>
      </w:r>
      <w:r>
        <w:rPr>
          <w:rFonts w:ascii="仿宋_GB2312" w:eastAsia="仿宋_GB2312"/>
          <w:b w:val="0"/>
          <w:color w:val="auto"/>
          <w:sz w:val="32"/>
          <w:szCs w:val="32"/>
        </w:rPr>
        <w:t>，分别是：</w:t>
      </w:r>
      <w:r>
        <w:rPr>
          <w:rFonts w:hint="eastAsia" w:ascii="仿宋_GB2312" w:eastAsia="仿宋_GB2312"/>
          <w:b w:val="0"/>
          <w:color w:val="auto"/>
          <w:sz w:val="32"/>
          <w:szCs w:val="32"/>
        </w:rPr>
        <w:t>办公室、政策法规处、规划建设处、粮食储备处、物资储备处、产业发展处、安全仓储与科技处、财务审计处、执法督查局、机关党委（人事处）、离退休干部工作处</w:t>
      </w:r>
      <w:r>
        <w:rPr>
          <w:rFonts w:ascii="仿宋_GB2312" w:eastAsia="仿宋_GB2312"/>
          <w:b w:val="0"/>
          <w:color w:val="auto"/>
          <w:sz w:val="32"/>
          <w:szCs w:val="32"/>
        </w:rPr>
        <w:t>。</w:t>
      </w:r>
    </w:p>
    <w:p>
      <w:pPr>
        <w:keepNext w:val="0"/>
        <w:keepLines w:val="0"/>
        <w:pageBreakBefore w:val="0"/>
        <w:widowControl/>
        <w:kinsoku/>
        <w:wordWrap/>
        <w:overflowPunct/>
        <w:topLinePunct w:val="0"/>
        <w:autoSpaceDE/>
        <w:autoSpaceDN/>
        <w:bidi w:val="0"/>
        <w:adjustRightInd/>
        <w:snapToGrid w:val="0"/>
        <w:spacing w:line="560" w:lineRule="exact"/>
        <w:textAlignment w:val="auto"/>
        <w:rPr>
          <w:color w:val="auto"/>
          <w:sz w:val="32"/>
          <w:szCs w:val="32"/>
        </w:rPr>
      </w:pPr>
      <w:r>
        <w:rPr>
          <w:b w:val="0"/>
          <w:color w:val="auto"/>
          <w:sz w:val="32"/>
          <w:szCs w:val="32"/>
        </w:rPr>
        <w:br w:type="page"/>
      </w:r>
    </w:p>
    <w:p>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560" w:lineRule="exact"/>
        <w:jc w:val="center"/>
        <w:textAlignment w:val="auto"/>
        <w:outlineLvl w:val="0"/>
        <w:rPr>
          <w:rFonts w:ascii="黑体" w:eastAsia="黑体"/>
          <w:color w:val="auto"/>
          <w:sz w:val="32"/>
          <w:szCs w:val="32"/>
        </w:rPr>
      </w:pPr>
      <w:r>
        <w:rPr>
          <w:rFonts w:ascii="黑体" w:eastAsia="黑体"/>
          <w:b w:val="0"/>
          <w:color w:val="auto"/>
          <w:sz w:val="32"/>
          <w:szCs w:val="32"/>
        </w:rPr>
        <w:t>第二部分部门决算情况说明</w:t>
      </w:r>
    </w:p>
    <w:p>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560" w:lineRule="exact"/>
        <w:ind w:firstLine="640" w:firstLineChars="200"/>
        <w:jc w:val="left"/>
        <w:textAlignment w:val="auto"/>
        <w:outlineLvl w:val="1"/>
        <w:rPr>
          <w:rFonts w:ascii="黑体" w:eastAsia="黑体"/>
          <w:color w:val="auto"/>
          <w:sz w:val="32"/>
          <w:szCs w:val="32"/>
        </w:rPr>
      </w:pPr>
      <w:r>
        <w:rPr>
          <w:rFonts w:ascii="黑体" w:eastAsia="黑体"/>
          <w:b w:val="0"/>
          <w:color w:val="auto"/>
          <w:sz w:val="32"/>
          <w:szCs w:val="32"/>
        </w:rPr>
        <w:t>一、收入支出决算总体情况说明</w:t>
      </w:r>
    </w:p>
    <w:p>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560" w:lineRule="exact"/>
        <w:ind w:firstLine="640" w:firstLineChars="200"/>
        <w:jc w:val="both"/>
        <w:textAlignment w:val="auto"/>
        <w:rPr>
          <w:rFonts w:ascii="仿宋_GB2312" w:eastAsia="仿宋_GB2312"/>
          <w:color w:val="auto"/>
          <w:sz w:val="32"/>
          <w:szCs w:val="32"/>
        </w:rPr>
      </w:pPr>
      <w:r>
        <w:rPr>
          <w:rFonts w:ascii="仿宋_GB2312" w:eastAsia="仿宋_GB2312"/>
          <w:b w:val="0"/>
          <w:color w:val="auto"/>
          <w:sz w:val="32"/>
          <w:szCs w:val="32"/>
        </w:rPr>
        <w:t>2024年度收入总计5,205.31万元，其中：本年收入合计4,764.80万元，使用非财政拨款结余（含专用结余）0.00万元，年初结转和结余440.50万元。</w:t>
      </w:r>
    </w:p>
    <w:p>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560" w:lineRule="exact"/>
        <w:ind w:firstLine="640" w:firstLineChars="200"/>
        <w:jc w:val="both"/>
        <w:textAlignment w:val="auto"/>
        <w:rPr>
          <w:rFonts w:ascii="仿宋_GB2312" w:eastAsia="仿宋_GB2312"/>
          <w:color w:val="auto"/>
          <w:sz w:val="32"/>
          <w:szCs w:val="32"/>
        </w:rPr>
      </w:pPr>
      <w:r>
        <w:rPr>
          <w:rFonts w:ascii="仿宋_GB2312" w:eastAsia="仿宋_GB2312"/>
          <w:b w:val="0"/>
          <w:color w:val="auto"/>
          <w:sz w:val="32"/>
          <w:szCs w:val="32"/>
        </w:rPr>
        <w:t>2024年度支出总计5,205.31万元，其中：本年支出合计5,043.00万元，结余分配0.00万元，年末结转和结余162.31万元。</w:t>
      </w:r>
    </w:p>
    <w:p>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560" w:lineRule="exact"/>
        <w:ind w:firstLine="640" w:firstLineChars="200"/>
        <w:jc w:val="both"/>
        <w:textAlignment w:val="auto"/>
        <w:rPr>
          <w:rFonts w:ascii="仿宋_GB2312" w:eastAsia="仿宋_GB2312"/>
          <w:color w:val="auto"/>
          <w:sz w:val="32"/>
          <w:szCs w:val="32"/>
        </w:rPr>
      </w:pPr>
      <w:r>
        <w:rPr>
          <w:rFonts w:ascii="仿宋_GB2312" w:eastAsia="仿宋_GB2312"/>
          <w:b w:val="0"/>
          <w:color w:val="auto"/>
          <w:sz w:val="32"/>
          <w:szCs w:val="32"/>
        </w:rPr>
        <w:t>收入支出总体与上年相比，增加1,692.57万元，增长48.18%，主要原因是：</w:t>
      </w:r>
      <w:r>
        <w:rPr>
          <w:rFonts w:hint="eastAsia" w:ascii="仿宋_GB2312" w:eastAsia="仿宋_GB2312"/>
          <w:b w:val="0"/>
          <w:color w:val="auto"/>
          <w:sz w:val="32"/>
          <w:szCs w:val="32"/>
          <w:lang w:val="en-US" w:eastAsia="zh-CN"/>
        </w:rPr>
        <w:t>本年增加成品油储备项目，业务量增加，办公费等增加</w:t>
      </w:r>
      <w:r>
        <w:rPr>
          <w:rFonts w:ascii="仿宋_GB2312" w:eastAsia="仿宋_GB2312"/>
          <w:b w:val="0"/>
          <w:color w:val="auto"/>
          <w:sz w:val="32"/>
          <w:szCs w:val="32"/>
        </w:rPr>
        <w:t>。</w:t>
      </w:r>
    </w:p>
    <w:p>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560" w:lineRule="exact"/>
        <w:ind w:firstLine="640" w:firstLineChars="200"/>
        <w:jc w:val="left"/>
        <w:textAlignment w:val="auto"/>
        <w:outlineLvl w:val="1"/>
        <w:rPr>
          <w:rFonts w:ascii="黑体" w:eastAsia="黑体"/>
          <w:color w:val="auto"/>
          <w:sz w:val="32"/>
          <w:szCs w:val="32"/>
        </w:rPr>
      </w:pPr>
      <w:r>
        <w:rPr>
          <w:rFonts w:ascii="黑体" w:eastAsia="黑体"/>
          <w:b w:val="0"/>
          <w:color w:val="auto"/>
          <w:sz w:val="32"/>
          <w:szCs w:val="32"/>
        </w:rPr>
        <w:t>二、收入决算情况说明</w:t>
      </w:r>
    </w:p>
    <w:p>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560" w:lineRule="exact"/>
        <w:ind w:firstLine="640" w:firstLineChars="200"/>
        <w:jc w:val="both"/>
        <w:textAlignment w:val="auto"/>
        <w:rPr>
          <w:rFonts w:hint="eastAsia" w:ascii="仿宋_GB2312" w:eastAsia="仿宋_GB2312"/>
          <w:color w:val="auto"/>
          <w:sz w:val="32"/>
          <w:szCs w:val="32"/>
          <w:lang w:eastAsia="zh-CN"/>
        </w:rPr>
      </w:pPr>
      <w:r>
        <w:rPr>
          <w:rFonts w:ascii="仿宋_GB2312" w:eastAsia="仿宋_GB2312"/>
          <w:b w:val="0"/>
          <w:color w:val="auto"/>
          <w:sz w:val="32"/>
          <w:szCs w:val="32"/>
        </w:rPr>
        <w:t>本年收入4,764.80万元</w:t>
      </w:r>
      <w:r>
        <w:rPr>
          <w:rFonts w:hint="eastAsia" w:ascii="仿宋_GB2312" w:eastAsia="仿宋_GB2312"/>
          <w:b w:val="0"/>
          <w:color w:val="auto"/>
          <w:sz w:val="32"/>
          <w:szCs w:val="32"/>
          <w:lang w:eastAsia="zh-CN"/>
        </w:rPr>
        <w:t>，</w:t>
      </w:r>
      <w:r>
        <w:rPr>
          <w:rFonts w:ascii="仿宋_GB2312" w:eastAsia="仿宋_GB2312"/>
          <w:b w:val="0"/>
          <w:color w:val="auto"/>
          <w:sz w:val="32"/>
          <w:szCs w:val="32"/>
        </w:rPr>
        <w:t>其中：财政拨款收入4,613.75万元</w:t>
      </w:r>
      <w:r>
        <w:rPr>
          <w:rFonts w:hint="eastAsia" w:ascii="仿宋_GB2312" w:eastAsia="仿宋_GB2312"/>
          <w:b w:val="0"/>
          <w:color w:val="auto"/>
          <w:sz w:val="32"/>
          <w:szCs w:val="32"/>
          <w:lang w:eastAsia="zh-CN"/>
        </w:rPr>
        <w:t>，</w:t>
      </w:r>
      <w:r>
        <w:rPr>
          <w:rFonts w:ascii="仿宋_GB2312" w:eastAsia="仿宋_GB2312"/>
          <w:b w:val="0"/>
          <w:color w:val="auto"/>
          <w:sz w:val="32"/>
          <w:szCs w:val="32"/>
        </w:rPr>
        <w:t>占96.83%；上级补助收入0.00万元</w:t>
      </w:r>
      <w:r>
        <w:rPr>
          <w:rFonts w:hint="eastAsia" w:ascii="仿宋_GB2312" w:eastAsia="仿宋_GB2312"/>
          <w:b w:val="0"/>
          <w:color w:val="auto"/>
          <w:sz w:val="32"/>
          <w:szCs w:val="32"/>
          <w:lang w:eastAsia="zh-CN"/>
        </w:rPr>
        <w:t>，</w:t>
      </w:r>
      <w:r>
        <w:rPr>
          <w:rFonts w:ascii="仿宋_GB2312" w:eastAsia="仿宋_GB2312"/>
          <w:b w:val="0"/>
          <w:color w:val="auto"/>
          <w:sz w:val="32"/>
          <w:szCs w:val="32"/>
        </w:rPr>
        <w:t>占0.00%；事业收入0.00万元</w:t>
      </w:r>
      <w:r>
        <w:rPr>
          <w:rFonts w:hint="eastAsia" w:ascii="仿宋_GB2312" w:eastAsia="仿宋_GB2312"/>
          <w:b w:val="0"/>
          <w:color w:val="auto"/>
          <w:sz w:val="32"/>
          <w:szCs w:val="32"/>
          <w:lang w:eastAsia="zh-CN"/>
        </w:rPr>
        <w:t>，</w:t>
      </w:r>
      <w:r>
        <w:rPr>
          <w:rFonts w:ascii="仿宋_GB2312" w:eastAsia="仿宋_GB2312"/>
          <w:b w:val="0"/>
          <w:color w:val="auto"/>
          <w:sz w:val="32"/>
          <w:szCs w:val="32"/>
        </w:rPr>
        <w:t>占0.00%；经营收入0.00万元</w:t>
      </w:r>
      <w:r>
        <w:rPr>
          <w:rFonts w:hint="eastAsia" w:ascii="仿宋_GB2312" w:eastAsia="仿宋_GB2312"/>
          <w:b w:val="0"/>
          <w:color w:val="auto"/>
          <w:sz w:val="32"/>
          <w:szCs w:val="32"/>
          <w:lang w:eastAsia="zh-CN"/>
        </w:rPr>
        <w:t>，</w:t>
      </w:r>
      <w:r>
        <w:rPr>
          <w:rFonts w:ascii="仿宋_GB2312" w:eastAsia="仿宋_GB2312"/>
          <w:b w:val="0"/>
          <w:color w:val="auto"/>
          <w:sz w:val="32"/>
          <w:szCs w:val="32"/>
        </w:rPr>
        <w:t>占0.00%</w:t>
      </w:r>
      <w:r>
        <w:rPr>
          <w:rFonts w:hint="eastAsia" w:ascii="仿宋_GB2312" w:eastAsia="仿宋_GB2312"/>
          <w:b w:val="0"/>
          <w:color w:val="auto"/>
          <w:sz w:val="32"/>
          <w:szCs w:val="32"/>
          <w:lang w:eastAsia="zh-CN"/>
        </w:rPr>
        <w:t>；</w:t>
      </w:r>
      <w:r>
        <w:rPr>
          <w:rFonts w:ascii="仿宋_GB2312" w:eastAsia="仿宋_GB2312"/>
          <w:b w:val="0"/>
          <w:color w:val="auto"/>
          <w:sz w:val="32"/>
          <w:szCs w:val="32"/>
        </w:rPr>
        <w:t>附属单位上缴收入0.00万元</w:t>
      </w:r>
      <w:r>
        <w:rPr>
          <w:rFonts w:hint="eastAsia" w:ascii="仿宋_GB2312" w:eastAsia="仿宋_GB2312"/>
          <w:b w:val="0"/>
          <w:color w:val="auto"/>
          <w:sz w:val="32"/>
          <w:szCs w:val="32"/>
          <w:lang w:eastAsia="zh-CN"/>
        </w:rPr>
        <w:t>，</w:t>
      </w:r>
      <w:r>
        <w:rPr>
          <w:rFonts w:ascii="仿宋_GB2312" w:eastAsia="仿宋_GB2312"/>
          <w:b w:val="0"/>
          <w:color w:val="auto"/>
          <w:sz w:val="32"/>
          <w:szCs w:val="32"/>
        </w:rPr>
        <w:t>占0.00%；其他收入151.06万元</w:t>
      </w:r>
      <w:r>
        <w:rPr>
          <w:rFonts w:hint="eastAsia" w:ascii="仿宋_GB2312" w:eastAsia="仿宋_GB2312"/>
          <w:b w:val="0"/>
          <w:color w:val="auto"/>
          <w:sz w:val="32"/>
          <w:szCs w:val="32"/>
          <w:lang w:eastAsia="zh-CN"/>
        </w:rPr>
        <w:t>，</w:t>
      </w:r>
      <w:r>
        <w:rPr>
          <w:rFonts w:ascii="仿宋_GB2312" w:eastAsia="仿宋_GB2312"/>
          <w:b w:val="0"/>
          <w:color w:val="auto"/>
          <w:sz w:val="32"/>
          <w:szCs w:val="32"/>
        </w:rPr>
        <w:t>占3.17%</w:t>
      </w:r>
      <w:r>
        <w:rPr>
          <w:rFonts w:hint="eastAsia" w:ascii="仿宋_GB2312" w:eastAsia="仿宋_GB2312"/>
          <w:b w:val="0"/>
          <w:color w:val="auto"/>
          <w:sz w:val="32"/>
          <w:szCs w:val="32"/>
          <w:lang w:eastAsia="zh-CN"/>
        </w:rPr>
        <w:t>。</w:t>
      </w:r>
    </w:p>
    <w:p>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560" w:lineRule="exact"/>
        <w:ind w:firstLine="640" w:firstLineChars="200"/>
        <w:jc w:val="left"/>
        <w:textAlignment w:val="auto"/>
        <w:outlineLvl w:val="1"/>
        <w:rPr>
          <w:rFonts w:ascii="黑体" w:eastAsia="黑体"/>
          <w:color w:val="auto"/>
          <w:sz w:val="32"/>
          <w:szCs w:val="32"/>
        </w:rPr>
      </w:pPr>
      <w:r>
        <w:rPr>
          <w:rFonts w:ascii="黑体" w:eastAsia="黑体"/>
          <w:b w:val="0"/>
          <w:color w:val="auto"/>
          <w:sz w:val="32"/>
          <w:szCs w:val="32"/>
        </w:rPr>
        <w:t>三、支出决算情况说明</w:t>
      </w:r>
    </w:p>
    <w:p>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560" w:lineRule="exact"/>
        <w:ind w:firstLine="640" w:firstLineChars="200"/>
        <w:jc w:val="both"/>
        <w:textAlignment w:val="auto"/>
        <w:rPr>
          <w:rFonts w:ascii="仿宋_GB2312" w:eastAsia="仿宋_GB2312"/>
          <w:color w:val="auto"/>
          <w:sz w:val="32"/>
          <w:szCs w:val="32"/>
        </w:rPr>
      </w:pPr>
      <w:r>
        <w:rPr>
          <w:rFonts w:ascii="仿宋_GB2312" w:eastAsia="仿宋_GB2312"/>
          <w:b w:val="0"/>
          <w:color w:val="auto"/>
          <w:sz w:val="32"/>
          <w:szCs w:val="32"/>
        </w:rPr>
        <w:t>本年支出5,043.00万元</w:t>
      </w:r>
      <w:r>
        <w:rPr>
          <w:rFonts w:hint="eastAsia" w:ascii="仿宋_GB2312" w:eastAsia="仿宋_GB2312"/>
          <w:b w:val="0"/>
          <w:color w:val="auto"/>
          <w:sz w:val="32"/>
          <w:szCs w:val="32"/>
          <w:lang w:eastAsia="zh-CN"/>
        </w:rPr>
        <w:t>，</w:t>
      </w:r>
      <w:r>
        <w:rPr>
          <w:rFonts w:ascii="仿宋_GB2312" w:eastAsia="仿宋_GB2312"/>
          <w:b w:val="0"/>
          <w:color w:val="auto"/>
          <w:sz w:val="32"/>
          <w:szCs w:val="32"/>
        </w:rPr>
        <w:t>其中：基本支出2,348.42万元</w:t>
      </w:r>
      <w:r>
        <w:rPr>
          <w:rFonts w:hint="eastAsia" w:ascii="仿宋_GB2312" w:eastAsia="仿宋_GB2312"/>
          <w:b w:val="0"/>
          <w:color w:val="auto"/>
          <w:sz w:val="32"/>
          <w:szCs w:val="32"/>
          <w:lang w:eastAsia="zh-CN"/>
        </w:rPr>
        <w:t>，</w:t>
      </w:r>
      <w:r>
        <w:rPr>
          <w:rFonts w:ascii="仿宋_GB2312" w:eastAsia="仿宋_GB2312"/>
          <w:b w:val="0"/>
          <w:color w:val="auto"/>
          <w:sz w:val="32"/>
          <w:szCs w:val="32"/>
        </w:rPr>
        <w:t>占46.57%；项目支出2,694.58万元</w:t>
      </w:r>
      <w:r>
        <w:rPr>
          <w:rFonts w:hint="eastAsia" w:ascii="仿宋_GB2312" w:eastAsia="仿宋_GB2312"/>
          <w:b w:val="0"/>
          <w:color w:val="auto"/>
          <w:sz w:val="32"/>
          <w:szCs w:val="32"/>
          <w:lang w:eastAsia="zh-CN"/>
        </w:rPr>
        <w:t>，</w:t>
      </w:r>
      <w:r>
        <w:rPr>
          <w:rFonts w:ascii="仿宋_GB2312" w:eastAsia="仿宋_GB2312"/>
          <w:b w:val="0"/>
          <w:color w:val="auto"/>
          <w:sz w:val="32"/>
          <w:szCs w:val="32"/>
        </w:rPr>
        <w:t>占53.43%；上缴上级支出0.00万元，占0.00%；经营支出0.00万元</w:t>
      </w:r>
      <w:r>
        <w:rPr>
          <w:rFonts w:hint="eastAsia" w:ascii="仿宋_GB2312" w:eastAsia="仿宋_GB2312"/>
          <w:b w:val="0"/>
          <w:color w:val="auto"/>
          <w:sz w:val="32"/>
          <w:szCs w:val="32"/>
          <w:lang w:eastAsia="zh-CN"/>
        </w:rPr>
        <w:t>，</w:t>
      </w:r>
      <w:r>
        <w:rPr>
          <w:rFonts w:ascii="仿宋_GB2312" w:eastAsia="仿宋_GB2312"/>
          <w:b w:val="0"/>
          <w:color w:val="auto"/>
          <w:sz w:val="32"/>
          <w:szCs w:val="32"/>
        </w:rPr>
        <w:t>占0.00%；对附属单位补助支出0.00万元，占0.00%。</w:t>
      </w:r>
    </w:p>
    <w:p>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560" w:lineRule="exact"/>
        <w:ind w:firstLine="640" w:firstLineChars="200"/>
        <w:jc w:val="left"/>
        <w:textAlignment w:val="auto"/>
        <w:outlineLvl w:val="1"/>
        <w:rPr>
          <w:rFonts w:ascii="黑体" w:eastAsia="黑体"/>
          <w:color w:val="auto"/>
          <w:sz w:val="32"/>
          <w:szCs w:val="32"/>
        </w:rPr>
      </w:pPr>
      <w:r>
        <w:rPr>
          <w:rFonts w:ascii="黑体" w:eastAsia="黑体"/>
          <w:b w:val="0"/>
          <w:color w:val="auto"/>
          <w:sz w:val="32"/>
          <w:szCs w:val="32"/>
        </w:rPr>
        <w:t>四、财政拨款收入支出决算总体情况说明</w:t>
      </w:r>
    </w:p>
    <w:p>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560" w:lineRule="exact"/>
        <w:ind w:firstLine="640" w:firstLineChars="200"/>
        <w:jc w:val="both"/>
        <w:textAlignment w:val="auto"/>
        <w:rPr>
          <w:rFonts w:ascii="仿宋_GB2312" w:eastAsia="仿宋_GB2312"/>
          <w:color w:val="auto"/>
          <w:sz w:val="32"/>
          <w:szCs w:val="32"/>
        </w:rPr>
      </w:pPr>
      <w:r>
        <w:rPr>
          <w:rFonts w:ascii="仿宋_GB2312" w:eastAsia="仿宋_GB2312"/>
          <w:b w:val="0"/>
          <w:color w:val="auto"/>
          <w:sz w:val="32"/>
          <w:szCs w:val="32"/>
        </w:rPr>
        <w:t>2024年度财政拨款收入总计4,724.52万元，其中：年初财政拨款结转和结余110.77万元</w:t>
      </w:r>
      <w:r>
        <w:rPr>
          <w:rFonts w:hint="eastAsia" w:ascii="仿宋_GB2312" w:eastAsia="仿宋_GB2312"/>
          <w:b w:val="0"/>
          <w:color w:val="auto"/>
          <w:sz w:val="32"/>
          <w:szCs w:val="32"/>
          <w:lang w:eastAsia="zh-CN"/>
        </w:rPr>
        <w:t>，</w:t>
      </w:r>
      <w:r>
        <w:rPr>
          <w:rFonts w:ascii="仿宋_GB2312" w:eastAsia="仿宋_GB2312"/>
          <w:b w:val="0"/>
          <w:color w:val="auto"/>
          <w:sz w:val="32"/>
          <w:szCs w:val="32"/>
        </w:rPr>
        <w:t>本年财政拨款收入4,613.75万元</w:t>
      </w:r>
      <w:r>
        <w:rPr>
          <w:rFonts w:hint="eastAsia" w:ascii="仿宋_GB2312" w:eastAsia="仿宋_GB2312"/>
          <w:b w:val="0"/>
          <w:color w:val="auto"/>
          <w:sz w:val="32"/>
          <w:szCs w:val="32"/>
          <w:lang w:eastAsia="zh-CN"/>
        </w:rPr>
        <w:t>。</w:t>
      </w:r>
      <w:r>
        <w:rPr>
          <w:rFonts w:ascii="仿宋_GB2312" w:eastAsia="仿宋_GB2312"/>
          <w:b w:val="0"/>
          <w:color w:val="auto"/>
          <w:sz w:val="32"/>
          <w:szCs w:val="32"/>
        </w:rPr>
        <w:t>财政拨款支出总计4,724.52万元，其中：年末财政拨款结转和结余0.00万元</w:t>
      </w:r>
      <w:r>
        <w:rPr>
          <w:rFonts w:hint="eastAsia" w:ascii="仿宋_GB2312" w:eastAsia="仿宋_GB2312"/>
          <w:b w:val="0"/>
          <w:color w:val="auto"/>
          <w:sz w:val="32"/>
          <w:szCs w:val="32"/>
          <w:lang w:eastAsia="zh-CN"/>
        </w:rPr>
        <w:t>，</w:t>
      </w:r>
      <w:r>
        <w:rPr>
          <w:rFonts w:ascii="仿宋_GB2312" w:eastAsia="仿宋_GB2312"/>
          <w:b w:val="0"/>
          <w:color w:val="auto"/>
          <w:sz w:val="32"/>
          <w:szCs w:val="32"/>
        </w:rPr>
        <w:t>本年财政拨款支出4,724.52万元。</w:t>
      </w:r>
    </w:p>
    <w:p>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560" w:lineRule="exact"/>
        <w:ind w:firstLine="640" w:firstLineChars="200"/>
        <w:jc w:val="both"/>
        <w:textAlignment w:val="auto"/>
        <w:rPr>
          <w:rFonts w:ascii="仿宋_GB2312" w:eastAsia="仿宋_GB2312"/>
          <w:color w:val="auto"/>
          <w:sz w:val="32"/>
          <w:szCs w:val="32"/>
        </w:rPr>
      </w:pPr>
      <w:r>
        <w:rPr>
          <w:rFonts w:ascii="仿宋_GB2312" w:eastAsia="仿宋_GB2312"/>
          <w:b w:val="0"/>
          <w:color w:val="auto"/>
          <w:sz w:val="32"/>
          <w:szCs w:val="32"/>
        </w:rPr>
        <w:t>财政拨款收入支出总体与上年相比</w:t>
      </w:r>
      <w:r>
        <w:rPr>
          <w:rFonts w:hint="eastAsia" w:ascii="仿宋_GB2312" w:eastAsia="仿宋_GB2312"/>
          <w:b w:val="0"/>
          <w:color w:val="auto"/>
          <w:sz w:val="32"/>
          <w:szCs w:val="32"/>
          <w:lang w:eastAsia="zh-CN"/>
        </w:rPr>
        <w:t>，</w:t>
      </w:r>
      <w:r>
        <w:rPr>
          <w:rFonts w:ascii="仿宋_GB2312" w:eastAsia="仿宋_GB2312"/>
          <w:b w:val="0"/>
          <w:color w:val="auto"/>
          <w:sz w:val="32"/>
          <w:szCs w:val="32"/>
        </w:rPr>
        <w:t>增加1,685.86万元，增长55.48%，主要原因是：</w:t>
      </w:r>
      <w:r>
        <w:rPr>
          <w:rFonts w:hint="eastAsia" w:ascii="仿宋_GB2312" w:hAnsi="仿宋" w:eastAsia="仿宋_GB2312"/>
          <w:color w:val="auto"/>
          <w:sz w:val="32"/>
          <w:szCs w:val="32"/>
          <w:lang w:val="en-US" w:eastAsia="zh-CN"/>
        </w:rPr>
        <w:t>本年增加成品油储备项目，业务量增加，办公费等增加</w:t>
      </w:r>
      <w:r>
        <w:rPr>
          <w:rFonts w:ascii="仿宋_GB2312" w:eastAsia="仿宋_GB2312"/>
          <w:b w:val="0"/>
          <w:color w:val="auto"/>
          <w:sz w:val="32"/>
          <w:szCs w:val="32"/>
        </w:rPr>
        <w:t>。与年初预算相比，年初预算数2,884.73万元</w:t>
      </w:r>
      <w:r>
        <w:rPr>
          <w:rFonts w:hint="eastAsia" w:ascii="仿宋_GB2312" w:eastAsia="仿宋_GB2312"/>
          <w:b w:val="0"/>
          <w:color w:val="auto"/>
          <w:sz w:val="32"/>
          <w:szCs w:val="32"/>
          <w:lang w:eastAsia="zh-CN"/>
        </w:rPr>
        <w:t>，</w:t>
      </w:r>
      <w:r>
        <w:rPr>
          <w:rFonts w:ascii="仿宋_GB2312" w:eastAsia="仿宋_GB2312"/>
          <w:b w:val="0"/>
          <w:color w:val="auto"/>
          <w:sz w:val="32"/>
          <w:szCs w:val="32"/>
        </w:rPr>
        <w:t>决算数4,724.52万元</w:t>
      </w:r>
      <w:r>
        <w:rPr>
          <w:rFonts w:hint="eastAsia" w:ascii="仿宋_GB2312" w:eastAsia="仿宋_GB2312"/>
          <w:b w:val="0"/>
          <w:color w:val="auto"/>
          <w:sz w:val="32"/>
          <w:szCs w:val="32"/>
          <w:lang w:eastAsia="zh-CN"/>
        </w:rPr>
        <w:t>，</w:t>
      </w:r>
      <w:r>
        <w:rPr>
          <w:rFonts w:ascii="仿宋_GB2312" w:eastAsia="仿宋_GB2312"/>
          <w:b w:val="0"/>
          <w:color w:val="auto"/>
          <w:sz w:val="32"/>
          <w:szCs w:val="32"/>
        </w:rPr>
        <w:t>预决算差异率63.78%</w:t>
      </w:r>
      <w:r>
        <w:rPr>
          <w:rFonts w:hint="eastAsia" w:ascii="仿宋_GB2312" w:eastAsia="仿宋_GB2312"/>
          <w:b w:val="0"/>
          <w:color w:val="auto"/>
          <w:sz w:val="32"/>
          <w:szCs w:val="32"/>
          <w:lang w:eastAsia="zh-CN"/>
        </w:rPr>
        <w:t>，</w:t>
      </w:r>
      <w:r>
        <w:rPr>
          <w:rFonts w:ascii="仿宋_GB2312" w:eastAsia="仿宋_GB2312"/>
          <w:b w:val="0"/>
          <w:color w:val="auto"/>
          <w:sz w:val="32"/>
          <w:szCs w:val="32"/>
        </w:rPr>
        <w:t>主要原因是：</w:t>
      </w:r>
      <w:r>
        <w:rPr>
          <w:rFonts w:hint="eastAsia" w:ascii="仿宋_GB2312" w:hAnsi="仿宋" w:eastAsia="仿宋_GB2312"/>
          <w:color w:val="auto"/>
          <w:sz w:val="32"/>
          <w:szCs w:val="32"/>
          <w:lang w:val="en-US" w:eastAsia="zh-CN"/>
        </w:rPr>
        <w:t>年中追加成品油储备项目，导致预决算存在差异</w:t>
      </w:r>
      <w:r>
        <w:rPr>
          <w:rFonts w:ascii="仿宋_GB2312" w:eastAsia="仿宋_GB2312"/>
          <w:b w:val="0"/>
          <w:color w:val="auto"/>
          <w:sz w:val="32"/>
          <w:szCs w:val="32"/>
        </w:rPr>
        <w:t>。</w:t>
      </w:r>
    </w:p>
    <w:p>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560" w:lineRule="exact"/>
        <w:ind w:firstLine="640" w:firstLineChars="200"/>
        <w:jc w:val="left"/>
        <w:textAlignment w:val="auto"/>
        <w:outlineLvl w:val="1"/>
        <w:rPr>
          <w:rFonts w:ascii="黑体" w:eastAsia="黑体"/>
          <w:color w:val="auto"/>
          <w:sz w:val="32"/>
          <w:szCs w:val="32"/>
        </w:rPr>
      </w:pPr>
      <w:r>
        <w:rPr>
          <w:rFonts w:ascii="黑体" w:eastAsia="黑体"/>
          <w:b w:val="0"/>
          <w:color w:val="auto"/>
          <w:sz w:val="32"/>
          <w:szCs w:val="32"/>
        </w:rPr>
        <w:t>五、一般公共预算财政拨款支出决算情况说明</w:t>
      </w:r>
    </w:p>
    <w:p>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560" w:lineRule="exact"/>
        <w:ind w:firstLine="643" w:firstLineChars="200"/>
        <w:jc w:val="left"/>
        <w:textAlignment w:val="auto"/>
        <w:outlineLvl w:val="2"/>
        <w:rPr>
          <w:rFonts w:ascii="仿宋_GB2312" w:eastAsia="仿宋_GB2312"/>
          <w:color w:val="auto"/>
          <w:sz w:val="32"/>
          <w:szCs w:val="32"/>
        </w:rPr>
      </w:pPr>
      <w:r>
        <w:rPr>
          <w:rFonts w:ascii="仿宋_GB2312" w:eastAsia="仿宋_GB2312"/>
          <w:b/>
          <w:color w:val="auto"/>
          <w:sz w:val="32"/>
          <w:szCs w:val="32"/>
        </w:rPr>
        <w:t>（一）一般公共预算财政拨款支出决算总体情况</w:t>
      </w:r>
    </w:p>
    <w:p>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560" w:lineRule="exact"/>
        <w:ind w:firstLine="640" w:firstLineChars="200"/>
        <w:jc w:val="both"/>
        <w:textAlignment w:val="auto"/>
        <w:rPr>
          <w:rFonts w:ascii="仿宋_GB2312" w:eastAsia="仿宋_GB2312"/>
          <w:color w:val="auto"/>
          <w:sz w:val="32"/>
          <w:szCs w:val="32"/>
        </w:rPr>
      </w:pPr>
      <w:r>
        <w:rPr>
          <w:rFonts w:ascii="仿宋_GB2312" w:eastAsia="仿宋_GB2312"/>
          <w:b w:val="0"/>
          <w:color w:val="auto"/>
          <w:sz w:val="32"/>
          <w:szCs w:val="32"/>
        </w:rPr>
        <w:t>2024年度一般公共预算财政拨款支出4,724.52万元，占本年支出合计的93.68%。与上年相比，增加1,838.58万元，增长63.71%，主要原因是：</w:t>
      </w:r>
      <w:r>
        <w:rPr>
          <w:rFonts w:hint="eastAsia" w:ascii="仿宋_GB2312" w:hAnsi="仿宋" w:eastAsia="仿宋_GB2312"/>
          <w:color w:val="auto"/>
          <w:sz w:val="32"/>
          <w:szCs w:val="32"/>
          <w:lang w:val="en-US" w:eastAsia="zh-CN"/>
        </w:rPr>
        <w:t>本年增加成品油储备项目，业务量增加，办公费等增加</w:t>
      </w:r>
      <w:r>
        <w:rPr>
          <w:rFonts w:ascii="仿宋_GB2312" w:eastAsia="仿宋_GB2312"/>
          <w:b w:val="0"/>
          <w:color w:val="auto"/>
          <w:sz w:val="32"/>
          <w:szCs w:val="32"/>
        </w:rPr>
        <w:t>。与年初预算相比，年初预算数2,884.73万元，决算数4,724.52万元，预决算差异率63.78%</w:t>
      </w:r>
      <w:r>
        <w:rPr>
          <w:rFonts w:hint="eastAsia" w:ascii="仿宋_GB2312" w:eastAsia="仿宋_GB2312"/>
          <w:b w:val="0"/>
          <w:color w:val="auto"/>
          <w:sz w:val="32"/>
          <w:szCs w:val="32"/>
          <w:lang w:eastAsia="zh-CN"/>
        </w:rPr>
        <w:t>，</w:t>
      </w:r>
      <w:r>
        <w:rPr>
          <w:rFonts w:ascii="仿宋_GB2312" w:eastAsia="仿宋_GB2312"/>
          <w:b w:val="0"/>
          <w:color w:val="auto"/>
          <w:sz w:val="32"/>
          <w:szCs w:val="32"/>
        </w:rPr>
        <w:t>主要原因是：</w:t>
      </w:r>
      <w:r>
        <w:rPr>
          <w:rFonts w:hint="eastAsia" w:ascii="仿宋_GB2312" w:hAnsi="仿宋" w:eastAsia="仿宋_GB2312"/>
          <w:color w:val="auto"/>
          <w:sz w:val="32"/>
          <w:szCs w:val="32"/>
          <w:lang w:val="en-US" w:eastAsia="zh-CN"/>
        </w:rPr>
        <w:t>年中追加成品油储备项目，导致预决算存在差异</w:t>
      </w:r>
      <w:r>
        <w:rPr>
          <w:rFonts w:ascii="仿宋_GB2312" w:eastAsia="仿宋_GB2312"/>
          <w:b w:val="0"/>
          <w:color w:val="auto"/>
          <w:sz w:val="32"/>
          <w:szCs w:val="32"/>
        </w:rPr>
        <w:t>。</w:t>
      </w:r>
    </w:p>
    <w:p>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560" w:lineRule="exact"/>
        <w:ind w:firstLine="643" w:firstLineChars="200"/>
        <w:jc w:val="left"/>
        <w:textAlignment w:val="auto"/>
        <w:outlineLvl w:val="2"/>
        <w:rPr>
          <w:rFonts w:ascii="仿宋_GB2312" w:eastAsia="仿宋_GB2312"/>
          <w:color w:val="auto"/>
          <w:sz w:val="32"/>
          <w:szCs w:val="32"/>
        </w:rPr>
      </w:pPr>
      <w:r>
        <w:rPr>
          <w:rFonts w:ascii="仿宋_GB2312" w:eastAsia="仿宋_GB2312"/>
          <w:b/>
          <w:color w:val="auto"/>
          <w:sz w:val="32"/>
          <w:szCs w:val="32"/>
        </w:rPr>
        <w:t>（二）一般公共预算财政拨款支出决算结构情况</w:t>
      </w:r>
    </w:p>
    <w:p>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560" w:lineRule="exact"/>
        <w:ind w:firstLine="640" w:firstLineChars="200"/>
        <w:jc w:val="both"/>
        <w:textAlignment w:val="auto"/>
        <w:rPr>
          <w:rFonts w:ascii="仿宋_GB2312" w:eastAsia="仿宋_GB2312"/>
          <w:color w:val="auto"/>
          <w:sz w:val="32"/>
          <w:szCs w:val="32"/>
        </w:rPr>
      </w:pPr>
      <w:r>
        <w:rPr>
          <w:rFonts w:hint="eastAsia" w:ascii="仿宋_GB2312" w:eastAsia="仿宋_GB2312"/>
          <w:b w:val="0"/>
          <w:color w:val="auto"/>
          <w:sz w:val="32"/>
          <w:szCs w:val="32"/>
          <w:lang w:val="en-US" w:eastAsia="zh-CN"/>
        </w:rPr>
        <w:t>1.</w:t>
      </w:r>
      <w:r>
        <w:rPr>
          <w:rFonts w:ascii="仿宋_GB2312" w:eastAsia="仿宋_GB2312"/>
          <w:b w:val="0"/>
          <w:color w:val="auto"/>
          <w:sz w:val="32"/>
          <w:szCs w:val="32"/>
        </w:rPr>
        <w:t>社会保障和就业支出（类）711.73万元，占15.06%。</w:t>
      </w:r>
    </w:p>
    <w:p>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560" w:lineRule="exact"/>
        <w:ind w:firstLine="640" w:firstLineChars="200"/>
        <w:jc w:val="both"/>
        <w:textAlignment w:val="auto"/>
        <w:rPr>
          <w:rFonts w:ascii="仿宋_GB2312" w:eastAsia="仿宋_GB2312"/>
          <w:color w:val="auto"/>
          <w:sz w:val="32"/>
          <w:szCs w:val="32"/>
        </w:rPr>
      </w:pPr>
      <w:r>
        <w:rPr>
          <w:rFonts w:hint="eastAsia" w:ascii="仿宋_GB2312" w:eastAsia="仿宋_GB2312"/>
          <w:b w:val="0"/>
          <w:color w:val="auto"/>
          <w:sz w:val="32"/>
          <w:szCs w:val="32"/>
          <w:lang w:val="en-US" w:eastAsia="zh-CN"/>
        </w:rPr>
        <w:t>2.</w:t>
      </w:r>
      <w:r>
        <w:rPr>
          <w:rFonts w:ascii="仿宋_GB2312" w:eastAsia="仿宋_GB2312"/>
          <w:b w:val="0"/>
          <w:color w:val="auto"/>
          <w:sz w:val="32"/>
          <w:szCs w:val="32"/>
        </w:rPr>
        <w:t>卫生健康支出（类）99.53万元，占2.11%。</w:t>
      </w:r>
    </w:p>
    <w:p>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560" w:lineRule="exact"/>
        <w:ind w:firstLine="640" w:firstLineChars="200"/>
        <w:jc w:val="both"/>
        <w:textAlignment w:val="auto"/>
        <w:rPr>
          <w:rFonts w:ascii="仿宋_GB2312" w:eastAsia="仿宋_GB2312"/>
          <w:color w:val="auto"/>
          <w:sz w:val="32"/>
          <w:szCs w:val="32"/>
        </w:rPr>
      </w:pPr>
      <w:r>
        <w:rPr>
          <w:rFonts w:hint="eastAsia" w:ascii="仿宋_GB2312" w:eastAsia="仿宋_GB2312"/>
          <w:b w:val="0"/>
          <w:color w:val="auto"/>
          <w:sz w:val="32"/>
          <w:szCs w:val="32"/>
          <w:lang w:val="en-US" w:eastAsia="zh-CN"/>
        </w:rPr>
        <w:t>3.</w:t>
      </w:r>
      <w:r>
        <w:rPr>
          <w:rFonts w:ascii="仿宋_GB2312" w:eastAsia="仿宋_GB2312"/>
          <w:b w:val="0"/>
          <w:color w:val="auto"/>
          <w:sz w:val="32"/>
          <w:szCs w:val="32"/>
        </w:rPr>
        <w:t>住房保障支出（类）96.18万元</w:t>
      </w:r>
      <w:r>
        <w:rPr>
          <w:rFonts w:hint="eastAsia" w:ascii="仿宋_GB2312" w:eastAsia="仿宋_GB2312"/>
          <w:b w:val="0"/>
          <w:color w:val="auto"/>
          <w:sz w:val="32"/>
          <w:szCs w:val="32"/>
          <w:lang w:eastAsia="zh-CN"/>
        </w:rPr>
        <w:t>，</w:t>
      </w:r>
      <w:r>
        <w:rPr>
          <w:rFonts w:ascii="仿宋_GB2312" w:eastAsia="仿宋_GB2312"/>
          <w:b w:val="0"/>
          <w:color w:val="auto"/>
          <w:sz w:val="32"/>
          <w:szCs w:val="32"/>
        </w:rPr>
        <w:t>占2.04%。</w:t>
      </w:r>
    </w:p>
    <w:p>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560" w:lineRule="exact"/>
        <w:ind w:firstLine="640" w:firstLineChars="200"/>
        <w:jc w:val="both"/>
        <w:textAlignment w:val="auto"/>
        <w:rPr>
          <w:rFonts w:ascii="仿宋_GB2312" w:eastAsia="仿宋_GB2312"/>
          <w:color w:val="auto"/>
          <w:sz w:val="32"/>
          <w:szCs w:val="32"/>
        </w:rPr>
      </w:pPr>
      <w:r>
        <w:rPr>
          <w:rFonts w:hint="eastAsia" w:ascii="仿宋_GB2312" w:eastAsia="仿宋_GB2312"/>
          <w:b w:val="0"/>
          <w:color w:val="auto"/>
          <w:sz w:val="32"/>
          <w:szCs w:val="32"/>
          <w:lang w:val="en-US" w:eastAsia="zh-CN"/>
        </w:rPr>
        <w:t>4.</w:t>
      </w:r>
      <w:r>
        <w:rPr>
          <w:rFonts w:ascii="仿宋_GB2312" w:eastAsia="仿宋_GB2312"/>
          <w:b w:val="0"/>
          <w:color w:val="auto"/>
          <w:sz w:val="32"/>
          <w:szCs w:val="32"/>
        </w:rPr>
        <w:t>粮油物资储备支出（类）3,817.08万元，占80.79%。</w:t>
      </w:r>
    </w:p>
    <w:p>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560" w:lineRule="exact"/>
        <w:ind w:firstLine="643" w:firstLineChars="200"/>
        <w:jc w:val="left"/>
        <w:textAlignment w:val="auto"/>
        <w:outlineLvl w:val="2"/>
        <w:rPr>
          <w:rFonts w:ascii="仿宋_GB2312" w:eastAsia="仿宋_GB2312"/>
          <w:color w:val="auto"/>
          <w:sz w:val="32"/>
          <w:szCs w:val="32"/>
        </w:rPr>
      </w:pPr>
      <w:r>
        <w:rPr>
          <w:rFonts w:ascii="仿宋_GB2312" w:eastAsia="仿宋_GB2312"/>
          <w:b/>
          <w:color w:val="auto"/>
          <w:sz w:val="32"/>
          <w:szCs w:val="32"/>
        </w:rPr>
        <w:t>（三）一般公共预算财政拨款支出决算具体情况</w:t>
      </w:r>
    </w:p>
    <w:p>
      <w:pPr>
        <w:keepNext w:val="0"/>
        <w:keepLines w:val="0"/>
        <w:pageBreakBefore w:val="0"/>
        <w:widowControl/>
        <w:numPr>
          <w:ilvl w:val="0"/>
          <w:numId w:val="1"/>
        </w:numPr>
        <w:kinsoku/>
        <w:wordWrap/>
        <w:overflowPunct/>
        <w:topLinePunct w:val="0"/>
        <w:autoSpaceDE/>
        <w:autoSpaceDN/>
        <w:bidi w:val="0"/>
        <w:adjustRightInd/>
        <w:snapToGrid w:val="0"/>
        <w:spacing w:before="0" w:beforeLines="0" w:beforeAutospacing="0" w:after="0" w:afterLines="0" w:afterAutospacing="0" w:line="560" w:lineRule="exact"/>
        <w:ind w:firstLine="640" w:firstLineChars="200"/>
        <w:textAlignment w:val="auto"/>
        <w:rPr>
          <w:rFonts w:ascii="仿宋_GB2312" w:eastAsia="仿宋_GB2312"/>
          <w:color w:val="auto"/>
          <w:sz w:val="32"/>
          <w:szCs w:val="32"/>
        </w:rPr>
      </w:pPr>
      <w:r>
        <w:rPr>
          <w:rFonts w:ascii="仿宋_GB2312" w:eastAsia="仿宋_GB2312"/>
          <w:b w:val="0"/>
          <w:color w:val="auto"/>
          <w:sz w:val="32"/>
          <w:szCs w:val="32"/>
        </w:rPr>
        <w:t>社会保障和就业支出（类）行政事业单位养老支出（款）行政单位离退休（项）：支出决算数为570.16万元，比上年决算减少41.04万元，下降6.71%</w:t>
      </w:r>
      <w:r>
        <w:rPr>
          <w:rFonts w:hint="eastAsia" w:ascii="仿宋_GB2312" w:eastAsia="仿宋_GB2312"/>
          <w:b w:val="0"/>
          <w:color w:val="auto"/>
          <w:sz w:val="32"/>
          <w:szCs w:val="32"/>
          <w:lang w:eastAsia="zh-CN"/>
        </w:rPr>
        <w:t>，</w:t>
      </w:r>
      <w:r>
        <w:rPr>
          <w:rFonts w:ascii="仿宋_GB2312" w:eastAsia="仿宋_GB2312"/>
          <w:b w:val="0"/>
          <w:color w:val="auto"/>
          <w:sz w:val="32"/>
          <w:szCs w:val="32"/>
        </w:rPr>
        <w:t>主要原因是：</w:t>
      </w:r>
      <w:r>
        <w:rPr>
          <w:rFonts w:hint="eastAsia" w:ascii="仿宋_GB2312" w:eastAsia="仿宋_GB2312"/>
          <w:b w:val="0"/>
          <w:color w:val="auto"/>
          <w:sz w:val="32"/>
          <w:szCs w:val="32"/>
          <w:lang w:eastAsia="zh-CN"/>
        </w:rPr>
        <w:t>离休人员去世两人，</w:t>
      </w:r>
      <w:r>
        <w:rPr>
          <w:rFonts w:ascii="仿宋_GB2312" w:eastAsia="仿宋_GB2312"/>
          <w:b w:val="0"/>
          <w:color w:val="auto"/>
          <w:sz w:val="32"/>
          <w:szCs w:val="32"/>
        </w:rPr>
        <w:t>行政单位离退休</w:t>
      </w:r>
      <w:r>
        <w:rPr>
          <w:rFonts w:hint="eastAsia" w:ascii="仿宋_GB2312" w:eastAsia="仿宋_GB2312"/>
          <w:b w:val="0"/>
          <w:color w:val="auto"/>
          <w:sz w:val="32"/>
          <w:szCs w:val="32"/>
          <w:lang w:eastAsia="zh-CN"/>
        </w:rPr>
        <w:t>支出减少。</w:t>
      </w:r>
    </w:p>
    <w:p>
      <w:pPr>
        <w:keepNext w:val="0"/>
        <w:keepLines w:val="0"/>
        <w:pageBreakBefore w:val="0"/>
        <w:widowControl/>
        <w:numPr>
          <w:ilvl w:val="0"/>
          <w:numId w:val="1"/>
        </w:numPr>
        <w:kinsoku/>
        <w:wordWrap/>
        <w:overflowPunct/>
        <w:topLinePunct w:val="0"/>
        <w:autoSpaceDE/>
        <w:autoSpaceDN/>
        <w:bidi w:val="0"/>
        <w:adjustRightInd/>
        <w:snapToGrid w:val="0"/>
        <w:spacing w:before="0" w:beforeLines="0" w:beforeAutospacing="0" w:after="0" w:afterLines="0" w:afterAutospacing="0" w:line="560" w:lineRule="exact"/>
        <w:ind w:firstLine="640" w:firstLineChars="200"/>
        <w:textAlignment w:val="auto"/>
        <w:rPr>
          <w:rFonts w:ascii="仿宋_GB2312" w:eastAsia="仿宋_GB2312"/>
          <w:color w:val="auto"/>
          <w:sz w:val="32"/>
          <w:szCs w:val="32"/>
        </w:rPr>
      </w:pPr>
      <w:r>
        <w:rPr>
          <w:rFonts w:ascii="仿宋_GB2312" w:eastAsia="仿宋_GB2312"/>
          <w:b w:val="0"/>
          <w:color w:val="auto"/>
          <w:sz w:val="32"/>
          <w:szCs w:val="32"/>
        </w:rPr>
        <w:t>社会保障和就业支出（类）行政事业单位养老支出（款）机关事业单位基本养老保险缴费支出（项）：支出决算数为105.02万元，比上年决算减少28.50万元，下降21.35%</w:t>
      </w:r>
      <w:r>
        <w:rPr>
          <w:rFonts w:hint="eastAsia" w:ascii="仿宋_GB2312" w:eastAsia="仿宋_GB2312"/>
          <w:b w:val="0"/>
          <w:color w:val="auto"/>
          <w:sz w:val="32"/>
          <w:szCs w:val="32"/>
          <w:lang w:eastAsia="zh-CN"/>
        </w:rPr>
        <w:t>，</w:t>
      </w:r>
      <w:r>
        <w:rPr>
          <w:rFonts w:ascii="仿宋_GB2312" w:eastAsia="仿宋_GB2312"/>
          <w:b w:val="0"/>
          <w:color w:val="auto"/>
          <w:sz w:val="32"/>
          <w:szCs w:val="32"/>
        </w:rPr>
        <w:t>主要原因是：</w:t>
      </w:r>
      <w:r>
        <w:rPr>
          <w:rFonts w:hint="eastAsia" w:ascii="仿宋_GB2312" w:eastAsia="仿宋_GB2312"/>
          <w:b w:val="0"/>
          <w:color w:val="auto"/>
          <w:sz w:val="32"/>
          <w:szCs w:val="32"/>
          <w:lang w:eastAsia="zh-CN"/>
        </w:rPr>
        <w:t>在职人员减少，</w:t>
      </w:r>
      <w:r>
        <w:rPr>
          <w:rFonts w:ascii="仿宋_GB2312" w:eastAsia="仿宋_GB2312"/>
          <w:b w:val="0"/>
          <w:color w:val="auto"/>
          <w:sz w:val="32"/>
          <w:szCs w:val="32"/>
        </w:rPr>
        <w:t>基本养老保险缴费支出</w:t>
      </w:r>
      <w:r>
        <w:rPr>
          <w:rFonts w:hint="eastAsia" w:ascii="仿宋_GB2312" w:eastAsia="仿宋_GB2312"/>
          <w:b w:val="0"/>
          <w:color w:val="auto"/>
          <w:sz w:val="32"/>
          <w:szCs w:val="32"/>
          <w:lang w:eastAsia="zh-CN"/>
        </w:rPr>
        <w:t>减少。</w:t>
      </w:r>
    </w:p>
    <w:p>
      <w:pPr>
        <w:keepNext w:val="0"/>
        <w:keepLines w:val="0"/>
        <w:pageBreakBefore w:val="0"/>
        <w:widowControl/>
        <w:numPr>
          <w:ilvl w:val="0"/>
          <w:numId w:val="1"/>
        </w:numPr>
        <w:kinsoku/>
        <w:wordWrap/>
        <w:overflowPunct/>
        <w:topLinePunct w:val="0"/>
        <w:autoSpaceDE/>
        <w:autoSpaceDN/>
        <w:bidi w:val="0"/>
        <w:adjustRightInd/>
        <w:snapToGrid w:val="0"/>
        <w:spacing w:before="0" w:beforeLines="0" w:beforeAutospacing="0" w:after="0" w:afterLines="0" w:afterAutospacing="0" w:line="560" w:lineRule="exact"/>
        <w:ind w:firstLine="640" w:firstLineChars="200"/>
        <w:textAlignment w:val="auto"/>
        <w:rPr>
          <w:rFonts w:ascii="仿宋_GB2312" w:eastAsia="仿宋_GB2312"/>
          <w:color w:val="auto"/>
          <w:sz w:val="32"/>
          <w:szCs w:val="32"/>
        </w:rPr>
      </w:pPr>
      <w:r>
        <w:rPr>
          <w:rFonts w:ascii="仿宋_GB2312" w:eastAsia="仿宋_GB2312"/>
          <w:b w:val="0"/>
          <w:color w:val="auto"/>
          <w:sz w:val="32"/>
          <w:szCs w:val="32"/>
        </w:rPr>
        <w:t>社会保障和就业支出（类）行政事业单位养老支出（款）机关事业单位职业年金缴费支出（项）：支出决算数为24.17万元，比上年决算减少4.96万元，下降17.03%</w:t>
      </w:r>
      <w:r>
        <w:rPr>
          <w:rFonts w:hint="eastAsia" w:ascii="仿宋_GB2312" w:eastAsia="仿宋_GB2312"/>
          <w:b w:val="0"/>
          <w:color w:val="auto"/>
          <w:sz w:val="32"/>
          <w:szCs w:val="32"/>
          <w:lang w:eastAsia="zh-CN"/>
        </w:rPr>
        <w:t>，</w:t>
      </w:r>
      <w:r>
        <w:rPr>
          <w:rFonts w:ascii="仿宋_GB2312" w:eastAsia="仿宋_GB2312"/>
          <w:b w:val="0"/>
          <w:color w:val="auto"/>
          <w:sz w:val="32"/>
          <w:szCs w:val="32"/>
        </w:rPr>
        <w:t>主要原因是：</w:t>
      </w:r>
      <w:r>
        <w:rPr>
          <w:rFonts w:hint="eastAsia" w:ascii="仿宋_GB2312" w:eastAsia="仿宋_GB2312"/>
          <w:b w:val="0"/>
          <w:color w:val="auto"/>
          <w:sz w:val="32"/>
          <w:szCs w:val="32"/>
          <w:lang w:eastAsia="zh-CN"/>
        </w:rPr>
        <w:t>本年</w:t>
      </w:r>
      <w:r>
        <w:rPr>
          <w:rFonts w:hint="eastAsia" w:ascii="仿宋_GB2312" w:eastAsia="仿宋_GB2312"/>
          <w:b w:val="0"/>
          <w:color w:val="auto"/>
          <w:sz w:val="32"/>
          <w:szCs w:val="32"/>
          <w:lang w:val="en-US" w:eastAsia="zh-CN"/>
        </w:rPr>
        <w:t>做</w:t>
      </w:r>
      <w:r>
        <w:rPr>
          <w:rFonts w:hint="eastAsia" w:ascii="仿宋_GB2312" w:eastAsia="仿宋_GB2312"/>
          <w:b w:val="0"/>
          <w:color w:val="auto"/>
          <w:sz w:val="32"/>
          <w:szCs w:val="32"/>
          <w:lang w:eastAsia="zh-CN"/>
        </w:rPr>
        <w:t>实</w:t>
      </w:r>
      <w:r>
        <w:rPr>
          <w:rFonts w:hint="eastAsia" w:ascii="仿宋_GB2312" w:eastAsia="仿宋_GB2312"/>
          <w:b w:val="0"/>
          <w:color w:val="auto"/>
          <w:sz w:val="32"/>
          <w:szCs w:val="32"/>
          <w:lang w:val="en-US" w:eastAsia="zh-CN"/>
        </w:rPr>
        <w:t>的</w:t>
      </w:r>
      <w:r>
        <w:rPr>
          <w:rFonts w:hint="eastAsia" w:ascii="仿宋_GB2312" w:eastAsia="仿宋_GB2312"/>
          <w:b w:val="0"/>
          <w:color w:val="auto"/>
          <w:sz w:val="32"/>
          <w:szCs w:val="32"/>
          <w:lang w:eastAsia="zh-CN"/>
        </w:rPr>
        <w:t>退休人员职业年金</w:t>
      </w:r>
      <w:r>
        <w:rPr>
          <w:rFonts w:hint="eastAsia" w:ascii="仿宋_GB2312" w:eastAsia="仿宋_GB2312"/>
          <w:b w:val="0"/>
          <w:color w:val="auto"/>
          <w:sz w:val="32"/>
          <w:szCs w:val="32"/>
          <w:lang w:val="en-US" w:eastAsia="zh-CN"/>
        </w:rPr>
        <w:t>较上年</w:t>
      </w:r>
      <w:r>
        <w:rPr>
          <w:rFonts w:hint="eastAsia" w:ascii="仿宋_GB2312" w:eastAsia="仿宋_GB2312"/>
          <w:b w:val="0"/>
          <w:color w:val="auto"/>
          <w:sz w:val="32"/>
          <w:szCs w:val="32"/>
          <w:lang w:eastAsia="zh-CN"/>
        </w:rPr>
        <w:t>减少。</w:t>
      </w:r>
    </w:p>
    <w:p>
      <w:pPr>
        <w:keepNext w:val="0"/>
        <w:keepLines w:val="0"/>
        <w:pageBreakBefore w:val="0"/>
        <w:widowControl/>
        <w:numPr>
          <w:ilvl w:val="0"/>
          <w:numId w:val="1"/>
        </w:numPr>
        <w:kinsoku/>
        <w:wordWrap/>
        <w:overflowPunct/>
        <w:topLinePunct w:val="0"/>
        <w:autoSpaceDE/>
        <w:autoSpaceDN/>
        <w:bidi w:val="0"/>
        <w:adjustRightInd/>
        <w:snapToGrid w:val="0"/>
        <w:spacing w:before="0" w:beforeLines="0" w:beforeAutospacing="0" w:after="0" w:afterLines="0" w:afterAutospacing="0" w:line="560" w:lineRule="exact"/>
        <w:ind w:firstLine="640" w:firstLineChars="200"/>
        <w:textAlignment w:val="auto"/>
        <w:rPr>
          <w:rFonts w:ascii="仿宋_GB2312" w:eastAsia="仿宋_GB2312"/>
          <w:color w:val="auto"/>
          <w:sz w:val="32"/>
          <w:szCs w:val="32"/>
        </w:rPr>
      </w:pPr>
      <w:r>
        <w:rPr>
          <w:rFonts w:ascii="仿宋_GB2312" w:eastAsia="仿宋_GB2312"/>
          <w:b w:val="0"/>
          <w:color w:val="auto"/>
          <w:sz w:val="32"/>
          <w:szCs w:val="32"/>
        </w:rPr>
        <w:t>社会保障和就业支出（类）企业改革补助（款）其他企业改革发展补助（项）：支出决算数为12.39万元，比上年决算减少14.74万元，下降54.33%</w:t>
      </w:r>
      <w:r>
        <w:rPr>
          <w:rFonts w:hint="eastAsia" w:ascii="仿宋_GB2312" w:eastAsia="仿宋_GB2312"/>
          <w:b w:val="0"/>
          <w:color w:val="auto"/>
          <w:sz w:val="32"/>
          <w:szCs w:val="32"/>
          <w:lang w:eastAsia="zh-CN"/>
        </w:rPr>
        <w:t>，</w:t>
      </w:r>
      <w:r>
        <w:rPr>
          <w:rFonts w:ascii="仿宋_GB2312" w:eastAsia="仿宋_GB2312"/>
          <w:b w:val="0"/>
          <w:color w:val="auto"/>
          <w:sz w:val="32"/>
          <w:szCs w:val="32"/>
        </w:rPr>
        <w:t>主要原因是：</w:t>
      </w:r>
      <w:r>
        <w:rPr>
          <w:rFonts w:hint="eastAsia" w:ascii="仿宋_GB2312" w:eastAsia="仿宋_GB2312"/>
          <w:b w:val="0"/>
          <w:color w:val="auto"/>
          <w:sz w:val="32"/>
          <w:szCs w:val="32"/>
          <w:lang w:eastAsia="zh-CN"/>
        </w:rPr>
        <w:t>本年</w:t>
      </w:r>
      <w:r>
        <w:rPr>
          <w:rFonts w:hint="eastAsia" w:ascii="仿宋_GB2312" w:eastAsia="仿宋_GB2312"/>
          <w:b w:val="0"/>
          <w:color w:val="auto"/>
          <w:sz w:val="32"/>
          <w:szCs w:val="32"/>
        </w:rPr>
        <w:t>区属国有企业离休干部（遗孀）生活待遇经费</w:t>
      </w:r>
      <w:r>
        <w:rPr>
          <w:rFonts w:hint="eastAsia" w:ascii="仿宋_GB2312" w:eastAsia="仿宋_GB2312"/>
          <w:b w:val="0"/>
          <w:color w:val="auto"/>
          <w:sz w:val="32"/>
          <w:szCs w:val="32"/>
          <w:lang w:eastAsia="zh-CN"/>
        </w:rPr>
        <w:t>减少。</w:t>
      </w:r>
    </w:p>
    <w:p>
      <w:pPr>
        <w:keepNext w:val="0"/>
        <w:keepLines w:val="0"/>
        <w:pageBreakBefore w:val="0"/>
        <w:widowControl/>
        <w:numPr>
          <w:ilvl w:val="0"/>
          <w:numId w:val="1"/>
        </w:numPr>
        <w:kinsoku/>
        <w:wordWrap/>
        <w:overflowPunct/>
        <w:topLinePunct w:val="0"/>
        <w:autoSpaceDE/>
        <w:autoSpaceDN/>
        <w:bidi w:val="0"/>
        <w:adjustRightInd/>
        <w:snapToGrid w:val="0"/>
        <w:spacing w:before="0" w:beforeLines="0" w:beforeAutospacing="0" w:after="0" w:afterLines="0" w:afterAutospacing="0" w:line="560" w:lineRule="exact"/>
        <w:ind w:firstLine="640" w:firstLineChars="200"/>
        <w:textAlignment w:val="auto"/>
        <w:rPr>
          <w:rFonts w:ascii="仿宋_GB2312" w:eastAsia="仿宋_GB2312"/>
          <w:color w:val="auto"/>
          <w:sz w:val="32"/>
          <w:szCs w:val="32"/>
        </w:rPr>
      </w:pPr>
      <w:r>
        <w:rPr>
          <w:rFonts w:ascii="仿宋_GB2312" w:eastAsia="仿宋_GB2312"/>
          <w:b w:val="0"/>
          <w:color w:val="auto"/>
          <w:sz w:val="32"/>
          <w:szCs w:val="32"/>
        </w:rPr>
        <w:t>卫生健康支出（类）行政事业单位医疗（款）行政单位医疗（项）：支出决算数为54.01万元，比上年决算减少8.58万元</w:t>
      </w:r>
      <w:r>
        <w:rPr>
          <w:rFonts w:hint="eastAsia" w:ascii="仿宋_GB2312" w:eastAsia="仿宋_GB2312"/>
          <w:b w:val="0"/>
          <w:color w:val="auto"/>
          <w:sz w:val="32"/>
          <w:szCs w:val="32"/>
          <w:lang w:eastAsia="zh-CN"/>
        </w:rPr>
        <w:t>，</w:t>
      </w:r>
      <w:r>
        <w:rPr>
          <w:rFonts w:ascii="仿宋_GB2312" w:eastAsia="仿宋_GB2312"/>
          <w:b w:val="0"/>
          <w:color w:val="auto"/>
          <w:sz w:val="32"/>
          <w:szCs w:val="32"/>
        </w:rPr>
        <w:t>下降13.71%</w:t>
      </w:r>
      <w:r>
        <w:rPr>
          <w:rFonts w:hint="eastAsia" w:ascii="仿宋_GB2312" w:eastAsia="仿宋_GB2312"/>
          <w:b w:val="0"/>
          <w:color w:val="auto"/>
          <w:sz w:val="32"/>
          <w:szCs w:val="32"/>
          <w:lang w:eastAsia="zh-CN"/>
        </w:rPr>
        <w:t>，</w:t>
      </w:r>
      <w:r>
        <w:rPr>
          <w:rFonts w:ascii="仿宋_GB2312" w:eastAsia="仿宋_GB2312"/>
          <w:b w:val="0"/>
          <w:color w:val="auto"/>
          <w:sz w:val="32"/>
          <w:szCs w:val="32"/>
        </w:rPr>
        <w:t>主要原因是：</w:t>
      </w:r>
      <w:r>
        <w:rPr>
          <w:rFonts w:hint="eastAsia" w:ascii="仿宋_GB2312" w:eastAsia="仿宋_GB2312"/>
          <w:b w:val="0"/>
          <w:color w:val="auto"/>
          <w:sz w:val="32"/>
          <w:szCs w:val="32"/>
          <w:lang w:eastAsia="zh-CN"/>
        </w:rPr>
        <w:t>在职人员减少，</w:t>
      </w:r>
      <w:r>
        <w:rPr>
          <w:rFonts w:ascii="仿宋_GB2312" w:eastAsia="仿宋_GB2312"/>
          <w:b w:val="0"/>
          <w:color w:val="auto"/>
          <w:sz w:val="32"/>
          <w:szCs w:val="32"/>
        </w:rPr>
        <w:t>行政单位医疗</w:t>
      </w:r>
      <w:r>
        <w:rPr>
          <w:rFonts w:hint="eastAsia" w:ascii="仿宋_GB2312" w:eastAsia="仿宋_GB2312"/>
          <w:b w:val="0"/>
          <w:color w:val="auto"/>
          <w:sz w:val="32"/>
          <w:szCs w:val="32"/>
          <w:lang w:eastAsia="zh-CN"/>
        </w:rPr>
        <w:t>支出减少。</w:t>
      </w:r>
    </w:p>
    <w:p>
      <w:pPr>
        <w:keepNext w:val="0"/>
        <w:keepLines w:val="0"/>
        <w:pageBreakBefore w:val="0"/>
        <w:widowControl/>
        <w:numPr>
          <w:ilvl w:val="0"/>
          <w:numId w:val="1"/>
        </w:numPr>
        <w:kinsoku/>
        <w:wordWrap/>
        <w:overflowPunct/>
        <w:topLinePunct w:val="0"/>
        <w:autoSpaceDE/>
        <w:autoSpaceDN/>
        <w:bidi w:val="0"/>
        <w:adjustRightInd/>
        <w:snapToGrid w:val="0"/>
        <w:spacing w:before="0" w:beforeLines="0" w:beforeAutospacing="0" w:after="0" w:afterLines="0" w:afterAutospacing="0" w:line="560" w:lineRule="exact"/>
        <w:ind w:firstLine="640" w:firstLineChars="200"/>
        <w:textAlignment w:val="auto"/>
        <w:rPr>
          <w:rFonts w:ascii="仿宋_GB2312" w:eastAsia="仿宋_GB2312"/>
          <w:color w:val="auto"/>
          <w:sz w:val="32"/>
          <w:szCs w:val="32"/>
        </w:rPr>
      </w:pPr>
      <w:r>
        <w:rPr>
          <w:rFonts w:ascii="仿宋_GB2312" w:eastAsia="仿宋_GB2312"/>
          <w:b w:val="0"/>
          <w:color w:val="auto"/>
          <w:sz w:val="32"/>
          <w:szCs w:val="32"/>
        </w:rPr>
        <w:t>卫生健康支出（类）行政事业单位医疗（款）公务员医疗补助（项）：支出决算数为45.53万元，比上年决算减少12.88万元，下降22.05%</w:t>
      </w:r>
      <w:r>
        <w:rPr>
          <w:rFonts w:hint="eastAsia" w:ascii="仿宋_GB2312" w:eastAsia="仿宋_GB2312"/>
          <w:b w:val="0"/>
          <w:color w:val="auto"/>
          <w:sz w:val="32"/>
          <w:szCs w:val="32"/>
          <w:lang w:eastAsia="zh-CN"/>
        </w:rPr>
        <w:t>，</w:t>
      </w:r>
      <w:r>
        <w:rPr>
          <w:rFonts w:ascii="仿宋_GB2312" w:eastAsia="仿宋_GB2312"/>
          <w:b w:val="0"/>
          <w:color w:val="auto"/>
          <w:sz w:val="32"/>
          <w:szCs w:val="32"/>
        </w:rPr>
        <w:t>主要原因是：</w:t>
      </w:r>
      <w:r>
        <w:rPr>
          <w:rFonts w:hint="eastAsia" w:ascii="仿宋_GB2312" w:eastAsia="仿宋_GB2312"/>
          <w:b w:val="0"/>
          <w:color w:val="auto"/>
          <w:sz w:val="32"/>
          <w:szCs w:val="32"/>
          <w:lang w:eastAsia="zh-CN"/>
        </w:rPr>
        <w:t>在职人员减少，</w:t>
      </w:r>
      <w:r>
        <w:rPr>
          <w:rFonts w:ascii="仿宋_GB2312" w:eastAsia="仿宋_GB2312"/>
          <w:b w:val="0"/>
          <w:color w:val="auto"/>
          <w:sz w:val="32"/>
          <w:szCs w:val="32"/>
        </w:rPr>
        <w:t>公务员医疗补助</w:t>
      </w:r>
      <w:r>
        <w:rPr>
          <w:rFonts w:hint="eastAsia" w:ascii="仿宋_GB2312" w:eastAsia="仿宋_GB2312"/>
          <w:b w:val="0"/>
          <w:color w:val="auto"/>
          <w:sz w:val="32"/>
          <w:szCs w:val="32"/>
          <w:lang w:eastAsia="zh-CN"/>
        </w:rPr>
        <w:t>支出减少。</w:t>
      </w:r>
    </w:p>
    <w:p>
      <w:pPr>
        <w:keepNext w:val="0"/>
        <w:keepLines w:val="0"/>
        <w:pageBreakBefore w:val="0"/>
        <w:widowControl/>
        <w:numPr>
          <w:ilvl w:val="0"/>
          <w:numId w:val="1"/>
        </w:numPr>
        <w:kinsoku/>
        <w:wordWrap/>
        <w:overflowPunct/>
        <w:topLinePunct w:val="0"/>
        <w:autoSpaceDE/>
        <w:autoSpaceDN/>
        <w:bidi w:val="0"/>
        <w:adjustRightInd/>
        <w:snapToGrid w:val="0"/>
        <w:spacing w:before="0" w:beforeLines="0" w:beforeAutospacing="0" w:after="0" w:afterLines="0" w:afterAutospacing="0" w:line="560" w:lineRule="exact"/>
        <w:ind w:firstLine="640" w:firstLineChars="200"/>
        <w:textAlignment w:val="auto"/>
        <w:rPr>
          <w:rFonts w:ascii="仿宋_GB2312" w:eastAsia="仿宋_GB2312"/>
          <w:color w:val="auto"/>
          <w:sz w:val="32"/>
          <w:szCs w:val="32"/>
        </w:rPr>
      </w:pPr>
      <w:r>
        <w:rPr>
          <w:rFonts w:ascii="仿宋_GB2312" w:eastAsia="仿宋_GB2312"/>
          <w:b w:val="0"/>
          <w:color w:val="auto"/>
          <w:sz w:val="32"/>
          <w:szCs w:val="32"/>
        </w:rPr>
        <w:t>住房保障支出（类）住房改革支出（款）住房公积金（项）：支出决算数为96.18万元，比上年决算减少3.96万元，下降3.95%</w:t>
      </w:r>
      <w:r>
        <w:rPr>
          <w:rFonts w:hint="eastAsia" w:ascii="仿宋_GB2312" w:eastAsia="仿宋_GB2312"/>
          <w:b w:val="0"/>
          <w:color w:val="auto"/>
          <w:sz w:val="32"/>
          <w:szCs w:val="32"/>
          <w:lang w:eastAsia="zh-CN"/>
        </w:rPr>
        <w:t>，</w:t>
      </w:r>
      <w:r>
        <w:rPr>
          <w:rFonts w:ascii="仿宋_GB2312" w:eastAsia="仿宋_GB2312"/>
          <w:b w:val="0"/>
          <w:color w:val="auto"/>
          <w:sz w:val="32"/>
          <w:szCs w:val="32"/>
        </w:rPr>
        <w:t>主要原因是：</w:t>
      </w:r>
      <w:r>
        <w:rPr>
          <w:rFonts w:hint="eastAsia" w:ascii="仿宋_GB2312" w:eastAsia="仿宋_GB2312"/>
          <w:b w:val="0"/>
          <w:color w:val="auto"/>
          <w:sz w:val="32"/>
          <w:szCs w:val="32"/>
          <w:lang w:eastAsia="zh-CN"/>
        </w:rPr>
        <w:t>在职人员减少，</w:t>
      </w:r>
      <w:r>
        <w:rPr>
          <w:rFonts w:ascii="仿宋_GB2312" w:eastAsia="仿宋_GB2312"/>
          <w:b w:val="0"/>
          <w:color w:val="auto"/>
          <w:sz w:val="32"/>
          <w:szCs w:val="32"/>
        </w:rPr>
        <w:t>住房公积金</w:t>
      </w:r>
      <w:r>
        <w:rPr>
          <w:rFonts w:hint="eastAsia" w:ascii="仿宋_GB2312" w:eastAsia="仿宋_GB2312"/>
          <w:b w:val="0"/>
          <w:color w:val="auto"/>
          <w:sz w:val="32"/>
          <w:szCs w:val="32"/>
          <w:lang w:eastAsia="zh-CN"/>
        </w:rPr>
        <w:t>支出减少。</w:t>
      </w:r>
    </w:p>
    <w:p>
      <w:pPr>
        <w:keepNext w:val="0"/>
        <w:keepLines w:val="0"/>
        <w:pageBreakBefore w:val="0"/>
        <w:widowControl/>
        <w:numPr>
          <w:ilvl w:val="0"/>
          <w:numId w:val="1"/>
        </w:numPr>
        <w:kinsoku/>
        <w:wordWrap/>
        <w:overflowPunct/>
        <w:topLinePunct w:val="0"/>
        <w:autoSpaceDE/>
        <w:autoSpaceDN/>
        <w:bidi w:val="0"/>
        <w:adjustRightInd/>
        <w:snapToGrid w:val="0"/>
        <w:spacing w:before="0" w:beforeLines="0" w:beforeAutospacing="0" w:after="0" w:afterLines="0" w:afterAutospacing="0" w:line="560" w:lineRule="exact"/>
        <w:ind w:firstLine="640" w:firstLineChars="200"/>
        <w:textAlignment w:val="auto"/>
        <w:rPr>
          <w:rFonts w:ascii="仿宋_GB2312" w:eastAsia="仿宋_GB2312"/>
          <w:b w:val="0"/>
          <w:color w:val="auto"/>
          <w:sz w:val="32"/>
          <w:szCs w:val="32"/>
        </w:rPr>
      </w:pPr>
      <w:r>
        <w:rPr>
          <w:rFonts w:ascii="仿宋_GB2312" w:eastAsia="仿宋_GB2312"/>
          <w:b w:val="0"/>
          <w:color w:val="auto"/>
          <w:sz w:val="32"/>
          <w:szCs w:val="32"/>
        </w:rPr>
        <w:t>粮油物资储备支出（类）粮油物资事务（款）行政运行（项）：支出决算数为1,450.63万元，比上年决算减少1.06万元，下降0.07%</w:t>
      </w:r>
      <w:r>
        <w:rPr>
          <w:rFonts w:hint="eastAsia" w:ascii="仿宋_GB2312" w:eastAsia="仿宋_GB2312"/>
          <w:b w:val="0"/>
          <w:color w:val="auto"/>
          <w:sz w:val="32"/>
          <w:szCs w:val="32"/>
          <w:lang w:eastAsia="zh-CN"/>
        </w:rPr>
        <w:t>，</w:t>
      </w:r>
      <w:r>
        <w:rPr>
          <w:rFonts w:ascii="仿宋_GB2312" w:eastAsia="仿宋_GB2312"/>
          <w:b w:val="0"/>
          <w:color w:val="auto"/>
          <w:sz w:val="32"/>
          <w:szCs w:val="32"/>
        </w:rPr>
        <w:t>主要原因是：</w:t>
      </w:r>
      <w:r>
        <w:rPr>
          <w:rFonts w:hint="eastAsia" w:ascii="仿宋_GB2312" w:eastAsia="仿宋_GB2312"/>
          <w:b w:val="0"/>
          <w:color w:val="auto"/>
          <w:sz w:val="32"/>
          <w:szCs w:val="32"/>
          <w:lang w:eastAsia="zh-CN"/>
        </w:rPr>
        <w:t>在职人员减少，</w:t>
      </w:r>
      <w:r>
        <w:rPr>
          <w:rFonts w:ascii="仿宋_GB2312" w:eastAsia="仿宋_GB2312"/>
          <w:b w:val="0"/>
          <w:color w:val="auto"/>
          <w:sz w:val="32"/>
          <w:szCs w:val="32"/>
        </w:rPr>
        <w:t>行政运行</w:t>
      </w:r>
      <w:r>
        <w:rPr>
          <w:rFonts w:hint="eastAsia" w:ascii="仿宋_GB2312" w:eastAsia="仿宋_GB2312"/>
          <w:b w:val="0"/>
          <w:color w:val="auto"/>
          <w:sz w:val="32"/>
          <w:szCs w:val="32"/>
          <w:lang w:eastAsia="zh-CN"/>
        </w:rPr>
        <w:t>支出减少。</w:t>
      </w:r>
    </w:p>
    <w:p>
      <w:pPr>
        <w:keepNext w:val="0"/>
        <w:keepLines w:val="0"/>
        <w:pageBreakBefore w:val="0"/>
        <w:widowControl/>
        <w:numPr>
          <w:ilvl w:val="0"/>
          <w:numId w:val="1"/>
        </w:numPr>
        <w:kinsoku/>
        <w:wordWrap/>
        <w:overflowPunct/>
        <w:topLinePunct w:val="0"/>
        <w:autoSpaceDE/>
        <w:autoSpaceDN/>
        <w:bidi w:val="0"/>
        <w:adjustRightInd/>
        <w:snapToGrid w:val="0"/>
        <w:spacing w:before="0" w:beforeLines="0" w:beforeAutospacing="0" w:after="0" w:afterLines="0" w:afterAutospacing="0" w:line="560" w:lineRule="exact"/>
        <w:ind w:firstLine="640" w:firstLineChars="200"/>
        <w:textAlignment w:val="auto"/>
        <w:rPr>
          <w:rFonts w:ascii="仿宋_GB2312" w:eastAsia="仿宋_GB2312"/>
          <w:color w:val="auto"/>
          <w:sz w:val="32"/>
          <w:szCs w:val="32"/>
        </w:rPr>
      </w:pPr>
      <w:r>
        <w:rPr>
          <w:rFonts w:ascii="仿宋_GB2312" w:eastAsia="仿宋_GB2312"/>
          <w:b w:val="0"/>
          <w:color w:val="auto"/>
          <w:sz w:val="32"/>
          <w:szCs w:val="32"/>
        </w:rPr>
        <w:t>粮油物资储备支出（类）粮油物资事务（款）其他粮油物资事务支出（项）：支出决算数为605.54万元，比上年决算增加193.41万元，增长46.93%</w:t>
      </w:r>
      <w:r>
        <w:rPr>
          <w:rFonts w:hint="eastAsia" w:ascii="仿宋_GB2312" w:eastAsia="仿宋_GB2312"/>
          <w:b w:val="0"/>
          <w:color w:val="auto"/>
          <w:sz w:val="32"/>
          <w:szCs w:val="32"/>
          <w:lang w:eastAsia="zh-CN"/>
        </w:rPr>
        <w:t>，</w:t>
      </w:r>
      <w:r>
        <w:rPr>
          <w:rFonts w:ascii="仿宋_GB2312" w:eastAsia="仿宋_GB2312"/>
          <w:b w:val="0"/>
          <w:color w:val="auto"/>
          <w:sz w:val="32"/>
          <w:szCs w:val="32"/>
        </w:rPr>
        <w:t>主要原因是：</w:t>
      </w:r>
      <w:r>
        <w:rPr>
          <w:rFonts w:hint="eastAsia" w:ascii="仿宋_GB2312" w:eastAsia="仿宋_GB2312"/>
          <w:b w:val="0"/>
          <w:color w:val="auto"/>
          <w:sz w:val="32"/>
          <w:szCs w:val="32"/>
          <w:lang w:val="en-US" w:eastAsia="zh-CN"/>
        </w:rPr>
        <w:t>本年增加</w:t>
      </w:r>
      <w:r>
        <w:rPr>
          <w:rFonts w:hint="eastAsia" w:ascii="仿宋_GB2312" w:eastAsia="仿宋_GB2312"/>
          <w:b w:val="0"/>
          <w:color w:val="auto"/>
          <w:sz w:val="32"/>
          <w:szCs w:val="32"/>
        </w:rPr>
        <w:t>自治区粮食仓储设施建设维修资金</w:t>
      </w:r>
      <w:r>
        <w:rPr>
          <w:rFonts w:hint="eastAsia" w:ascii="仿宋_GB2312" w:eastAsia="仿宋_GB2312"/>
          <w:b w:val="0"/>
          <w:color w:val="auto"/>
          <w:sz w:val="32"/>
          <w:szCs w:val="32"/>
          <w:lang w:eastAsia="zh-CN"/>
        </w:rPr>
        <w:t>。</w:t>
      </w:r>
    </w:p>
    <w:p>
      <w:pPr>
        <w:keepNext w:val="0"/>
        <w:keepLines w:val="0"/>
        <w:pageBreakBefore w:val="0"/>
        <w:widowControl/>
        <w:numPr>
          <w:ilvl w:val="0"/>
          <w:numId w:val="1"/>
        </w:numPr>
        <w:kinsoku/>
        <w:wordWrap/>
        <w:overflowPunct/>
        <w:topLinePunct w:val="0"/>
        <w:autoSpaceDE/>
        <w:autoSpaceDN/>
        <w:bidi w:val="0"/>
        <w:adjustRightInd/>
        <w:snapToGrid w:val="0"/>
        <w:spacing w:before="0" w:beforeLines="0" w:beforeAutospacing="0" w:after="0" w:afterLines="0" w:afterAutospacing="0" w:line="560" w:lineRule="exact"/>
        <w:ind w:firstLine="640" w:firstLineChars="200"/>
        <w:textAlignment w:val="auto"/>
        <w:rPr>
          <w:rFonts w:ascii="仿宋_GB2312" w:eastAsia="仿宋_GB2312"/>
          <w:color w:val="auto"/>
          <w:sz w:val="32"/>
          <w:szCs w:val="32"/>
        </w:rPr>
      </w:pPr>
      <w:r>
        <w:rPr>
          <w:rFonts w:ascii="仿宋_GB2312" w:eastAsia="仿宋_GB2312"/>
          <w:b w:val="0"/>
          <w:color w:val="auto"/>
          <w:sz w:val="32"/>
          <w:szCs w:val="32"/>
        </w:rPr>
        <w:t>粮油物资储备支出（类）能源储备（款）成品油储备（项）：支出决算数为1,760.91万元，比上年决算增加1,760.91万元，增长100.00%，主要原因是：</w:t>
      </w:r>
      <w:r>
        <w:rPr>
          <w:rFonts w:hint="eastAsia" w:ascii="仿宋_GB2312" w:eastAsia="仿宋_GB2312"/>
          <w:b w:val="0"/>
          <w:color w:val="auto"/>
          <w:sz w:val="32"/>
          <w:szCs w:val="32"/>
          <w:lang w:eastAsia="zh-CN"/>
        </w:rPr>
        <w:t>本年增加</w:t>
      </w:r>
      <w:r>
        <w:rPr>
          <w:rFonts w:hint="eastAsia" w:ascii="仿宋_GB2312" w:eastAsia="仿宋_GB2312"/>
          <w:b w:val="0"/>
          <w:color w:val="auto"/>
          <w:sz w:val="32"/>
          <w:szCs w:val="32"/>
        </w:rPr>
        <w:t>成品油储备</w:t>
      </w:r>
      <w:r>
        <w:rPr>
          <w:rFonts w:hint="eastAsia" w:ascii="仿宋_GB2312" w:eastAsia="仿宋_GB2312"/>
          <w:b w:val="0"/>
          <w:color w:val="auto"/>
          <w:sz w:val="32"/>
          <w:szCs w:val="32"/>
          <w:lang w:eastAsia="zh-CN"/>
        </w:rPr>
        <w:t>项目。</w:t>
      </w:r>
    </w:p>
    <w:p>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560" w:lineRule="exact"/>
        <w:ind w:firstLine="640" w:firstLineChars="200"/>
        <w:jc w:val="left"/>
        <w:textAlignment w:val="auto"/>
        <w:outlineLvl w:val="1"/>
        <w:rPr>
          <w:rFonts w:ascii="黑体" w:eastAsia="黑体"/>
          <w:color w:val="auto"/>
          <w:sz w:val="32"/>
          <w:szCs w:val="32"/>
        </w:rPr>
      </w:pPr>
      <w:r>
        <w:rPr>
          <w:rFonts w:ascii="黑体" w:eastAsia="黑体"/>
          <w:b w:val="0"/>
          <w:color w:val="auto"/>
          <w:sz w:val="32"/>
          <w:szCs w:val="32"/>
        </w:rPr>
        <w:t>六、一般公共预算财政拨款基本支出决算情况说明</w:t>
      </w:r>
    </w:p>
    <w:p>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560" w:lineRule="exact"/>
        <w:ind w:firstLine="640" w:firstLineChars="200"/>
        <w:jc w:val="both"/>
        <w:textAlignment w:val="auto"/>
        <w:rPr>
          <w:rFonts w:ascii="仿宋_GB2312" w:eastAsia="仿宋_GB2312"/>
          <w:color w:val="auto"/>
          <w:sz w:val="32"/>
          <w:szCs w:val="32"/>
        </w:rPr>
      </w:pPr>
      <w:r>
        <w:rPr>
          <w:rFonts w:ascii="仿宋_GB2312" w:eastAsia="仿宋_GB2312"/>
          <w:b w:val="0"/>
          <w:color w:val="auto"/>
          <w:sz w:val="32"/>
          <w:szCs w:val="32"/>
        </w:rPr>
        <w:t>2024年度一般公共预算财政拨款基本支出2,345.68万元，其中：人员经费2,074.56万元，包括：基本工资、津贴补贴、奖金、伙食补助费、机关事业单位基本养老保险缴费、职业年金缴费、职工基本医疗保险缴费、公务员医疗补助缴费、其他社会保障缴费、住房公积金、离休费、退休费、抚恤金和其他对个人和家庭的补助。</w:t>
      </w:r>
    </w:p>
    <w:p>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560" w:lineRule="exact"/>
        <w:ind w:firstLine="640" w:firstLineChars="200"/>
        <w:jc w:val="both"/>
        <w:textAlignment w:val="auto"/>
        <w:rPr>
          <w:rFonts w:ascii="仿宋_GB2312" w:eastAsia="仿宋_GB2312"/>
          <w:color w:val="auto"/>
          <w:sz w:val="32"/>
          <w:szCs w:val="32"/>
        </w:rPr>
      </w:pPr>
      <w:r>
        <w:rPr>
          <w:rFonts w:ascii="仿宋_GB2312" w:eastAsia="仿宋_GB2312"/>
          <w:b w:val="0"/>
          <w:color w:val="auto"/>
          <w:sz w:val="32"/>
          <w:szCs w:val="32"/>
        </w:rPr>
        <w:t>公用经费271.12万元，包括：办公费、印刷费、水费、电费、邮电费、取暖费、物业管理费、差旅费、租赁费、公务接待费、劳务费、委托业务费、工会经费、福利费、公务用车运行维护费、其他商品和服务支出、办公设备购置和无形资产购置。</w:t>
      </w:r>
    </w:p>
    <w:p>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560" w:lineRule="exact"/>
        <w:ind w:firstLine="640" w:firstLineChars="200"/>
        <w:jc w:val="left"/>
        <w:textAlignment w:val="auto"/>
        <w:outlineLvl w:val="1"/>
        <w:rPr>
          <w:rFonts w:ascii="黑体" w:eastAsia="黑体"/>
          <w:color w:val="auto"/>
          <w:sz w:val="32"/>
          <w:szCs w:val="32"/>
        </w:rPr>
      </w:pPr>
      <w:r>
        <w:rPr>
          <w:rFonts w:ascii="黑体" w:eastAsia="黑体"/>
          <w:b w:val="0"/>
          <w:color w:val="auto"/>
          <w:sz w:val="32"/>
          <w:szCs w:val="32"/>
        </w:rPr>
        <w:t>七、政府性基金预算财政拨款收入支出决算情况说明</w:t>
      </w:r>
    </w:p>
    <w:p>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560" w:lineRule="exact"/>
        <w:ind w:firstLine="640" w:firstLineChars="200"/>
        <w:jc w:val="both"/>
        <w:textAlignment w:val="auto"/>
        <w:rPr>
          <w:rFonts w:ascii="仿宋_GB2312" w:eastAsia="仿宋_GB2312"/>
          <w:color w:val="auto"/>
          <w:sz w:val="32"/>
          <w:szCs w:val="32"/>
        </w:rPr>
      </w:pPr>
      <w:r>
        <w:rPr>
          <w:rFonts w:ascii="仿宋_GB2312" w:eastAsia="仿宋_GB2312"/>
          <w:b w:val="0"/>
          <w:color w:val="auto"/>
          <w:sz w:val="32"/>
          <w:szCs w:val="32"/>
        </w:rPr>
        <w:t>本单位本年度无政府性基金预算财政拨款收入支出及结转和结余政府性基金预算财政拨款收入支出决算表为空表。</w:t>
      </w:r>
    </w:p>
    <w:p>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560" w:lineRule="exact"/>
        <w:ind w:firstLine="640" w:firstLineChars="200"/>
        <w:jc w:val="left"/>
        <w:textAlignment w:val="auto"/>
        <w:outlineLvl w:val="1"/>
        <w:rPr>
          <w:rFonts w:ascii="黑体" w:eastAsia="黑体"/>
          <w:color w:val="auto"/>
          <w:sz w:val="32"/>
          <w:szCs w:val="32"/>
        </w:rPr>
      </w:pPr>
      <w:r>
        <w:rPr>
          <w:rFonts w:ascii="黑体" w:eastAsia="黑体"/>
          <w:b w:val="0"/>
          <w:color w:val="auto"/>
          <w:sz w:val="32"/>
          <w:szCs w:val="32"/>
        </w:rPr>
        <w:t>八、国有资本经营预算财政拨款收入支出决算情况说明</w:t>
      </w:r>
    </w:p>
    <w:p>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560" w:lineRule="exact"/>
        <w:ind w:firstLine="640" w:firstLineChars="200"/>
        <w:jc w:val="both"/>
        <w:textAlignment w:val="auto"/>
        <w:rPr>
          <w:rFonts w:ascii="仿宋_GB2312" w:eastAsia="仿宋_GB2312"/>
          <w:color w:val="auto"/>
          <w:sz w:val="32"/>
          <w:szCs w:val="32"/>
        </w:rPr>
      </w:pPr>
      <w:r>
        <w:rPr>
          <w:rFonts w:ascii="仿宋_GB2312" w:eastAsia="仿宋_GB2312"/>
          <w:b w:val="0"/>
          <w:color w:val="auto"/>
          <w:sz w:val="32"/>
          <w:szCs w:val="32"/>
        </w:rPr>
        <w:t>本单位本年度无国有资本经营预算财政拨款收入、支出及结转和结余，国有资本经营预算财政拨款收入支出决算表为空表。</w:t>
      </w:r>
    </w:p>
    <w:p>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560" w:lineRule="exact"/>
        <w:ind w:firstLine="640" w:firstLineChars="200"/>
        <w:jc w:val="left"/>
        <w:textAlignment w:val="auto"/>
        <w:outlineLvl w:val="1"/>
        <w:rPr>
          <w:rFonts w:ascii="黑体" w:eastAsia="黑体"/>
          <w:color w:val="auto"/>
          <w:sz w:val="32"/>
          <w:szCs w:val="32"/>
        </w:rPr>
      </w:pPr>
      <w:r>
        <w:rPr>
          <w:rFonts w:ascii="黑体" w:eastAsia="黑体"/>
          <w:b w:val="0"/>
          <w:color w:val="auto"/>
          <w:sz w:val="32"/>
          <w:szCs w:val="32"/>
        </w:rPr>
        <w:t>九、财政拨款</w:t>
      </w:r>
      <w:r>
        <w:rPr>
          <w:rFonts w:hint="eastAsia" w:ascii="黑体" w:eastAsia="黑体"/>
          <w:b w:val="0"/>
          <w:color w:val="auto"/>
          <w:sz w:val="32"/>
          <w:szCs w:val="32"/>
          <w:lang w:eastAsia="zh-CN"/>
        </w:rPr>
        <w:t>“</w:t>
      </w:r>
      <w:r>
        <w:rPr>
          <w:rFonts w:ascii="黑体" w:eastAsia="黑体"/>
          <w:b w:val="0"/>
          <w:color w:val="auto"/>
          <w:sz w:val="32"/>
          <w:szCs w:val="32"/>
        </w:rPr>
        <w:t>三公</w:t>
      </w:r>
      <w:r>
        <w:rPr>
          <w:rFonts w:hint="eastAsia" w:ascii="黑体" w:eastAsia="黑体"/>
          <w:b w:val="0"/>
          <w:color w:val="auto"/>
          <w:sz w:val="32"/>
          <w:szCs w:val="32"/>
          <w:lang w:eastAsia="zh-CN"/>
        </w:rPr>
        <w:t>”</w:t>
      </w:r>
      <w:r>
        <w:rPr>
          <w:rFonts w:ascii="黑体" w:eastAsia="黑体"/>
          <w:b w:val="0"/>
          <w:color w:val="auto"/>
          <w:sz w:val="32"/>
          <w:szCs w:val="32"/>
        </w:rPr>
        <w:t>经费支出决算情况说明</w:t>
      </w:r>
    </w:p>
    <w:p>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560" w:lineRule="exact"/>
        <w:ind w:firstLine="640" w:firstLineChars="200"/>
        <w:jc w:val="both"/>
        <w:textAlignment w:val="auto"/>
        <w:rPr>
          <w:rFonts w:ascii="仿宋_GB2312" w:eastAsia="仿宋_GB2312"/>
          <w:color w:val="auto"/>
          <w:sz w:val="32"/>
          <w:szCs w:val="32"/>
        </w:rPr>
      </w:pPr>
      <w:r>
        <w:rPr>
          <w:rFonts w:ascii="仿宋_GB2312" w:eastAsia="仿宋_GB2312"/>
          <w:b w:val="0"/>
          <w:color w:val="auto"/>
          <w:sz w:val="32"/>
          <w:szCs w:val="32"/>
        </w:rPr>
        <w:t>2024年度财政拨款</w:t>
      </w:r>
      <w:r>
        <w:rPr>
          <w:rFonts w:hint="eastAsia" w:ascii="仿宋_GB2312" w:eastAsia="仿宋_GB2312"/>
          <w:b w:val="0"/>
          <w:color w:val="auto"/>
          <w:sz w:val="32"/>
          <w:szCs w:val="32"/>
          <w:lang w:eastAsia="zh-CN"/>
        </w:rPr>
        <w:t>“</w:t>
      </w:r>
      <w:r>
        <w:rPr>
          <w:rFonts w:ascii="仿宋_GB2312" w:eastAsia="仿宋_GB2312"/>
          <w:b w:val="0"/>
          <w:color w:val="auto"/>
          <w:sz w:val="32"/>
          <w:szCs w:val="32"/>
        </w:rPr>
        <w:t>三公</w:t>
      </w:r>
      <w:r>
        <w:rPr>
          <w:rFonts w:hint="eastAsia" w:ascii="仿宋_GB2312" w:eastAsia="仿宋_GB2312"/>
          <w:b w:val="0"/>
          <w:color w:val="auto"/>
          <w:sz w:val="32"/>
          <w:szCs w:val="32"/>
          <w:lang w:eastAsia="zh-CN"/>
        </w:rPr>
        <w:t>”</w:t>
      </w:r>
      <w:r>
        <w:rPr>
          <w:rFonts w:ascii="仿宋_GB2312" w:eastAsia="仿宋_GB2312"/>
          <w:b w:val="0"/>
          <w:color w:val="auto"/>
          <w:sz w:val="32"/>
          <w:szCs w:val="32"/>
        </w:rPr>
        <w:t>经费支出35.10万元，比上年减少1.32万元，下降3.62%，主要原因是：</w:t>
      </w:r>
      <w:r>
        <w:rPr>
          <w:rFonts w:hint="eastAsia" w:ascii="仿宋_GB2312" w:eastAsia="仿宋_GB2312"/>
          <w:b w:val="0"/>
          <w:color w:val="auto"/>
          <w:sz w:val="32"/>
          <w:szCs w:val="32"/>
          <w:lang w:val="en-US" w:eastAsia="zh-CN"/>
        </w:rPr>
        <w:t>严格执行中央八项规定，厉行节约，严格控制</w:t>
      </w:r>
      <w:r>
        <w:rPr>
          <w:rFonts w:hint="eastAsia" w:ascii="仿宋_GB2312" w:eastAsia="仿宋_GB2312"/>
          <w:b w:val="0"/>
          <w:color w:val="auto"/>
          <w:sz w:val="32"/>
          <w:szCs w:val="32"/>
          <w:lang w:eastAsia="zh-CN"/>
        </w:rPr>
        <w:t>“</w:t>
      </w:r>
      <w:r>
        <w:rPr>
          <w:rFonts w:ascii="仿宋_GB2312" w:eastAsia="仿宋_GB2312"/>
          <w:b w:val="0"/>
          <w:color w:val="auto"/>
          <w:sz w:val="32"/>
          <w:szCs w:val="32"/>
        </w:rPr>
        <w:t>三公</w:t>
      </w:r>
      <w:r>
        <w:rPr>
          <w:rFonts w:hint="eastAsia" w:ascii="仿宋_GB2312" w:eastAsia="仿宋_GB2312"/>
          <w:b w:val="0"/>
          <w:color w:val="auto"/>
          <w:sz w:val="32"/>
          <w:szCs w:val="32"/>
          <w:lang w:eastAsia="zh-CN"/>
        </w:rPr>
        <w:t>”</w:t>
      </w:r>
      <w:r>
        <w:rPr>
          <w:rFonts w:ascii="仿宋_GB2312" w:eastAsia="仿宋_GB2312"/>
          <w:b w:val="0"/>
          <w:color w:val="auto"/>
          <w:sz w:val="32"/>
          <w:szCs w:val="32"/>
        </w:rPr>
        <w:t>经费支出。其中：因公出国（境）费支出0.00万元,占0.00%，比上年增加0.00万元，增长0.00%</w:t>
      </w:r>
      <w:r>
        <w:rPr>
          <w:rFonts w:hint="eastAsia" w:ascii="仿宋_GB2312" w:eastAsia="仿宋_GB2312"/>
          <w:b w:val="0"/>
          <w:color w:val="auto"/>
          <w:sz w:val="32"/>
          <w:szCs w:val="32"/>
          <w:lang w:eastAsia="zh-CN"/>
        </w:rPr>
        <w:t>，</w:t>
      </w:r>
      <w:r>
        <w:rPr>
          <w:rFonts w:ascii="仿宋_GB2312" w:eastAsia="仿宋_GB2312"/>
          <w:b w:val="0"/>
          <w:color w:val="auto"/>
          <w:sz w:val="32"/>
          <w:szCs w:val="32"/>
        </w:rPr>
        <w:t>主要原因是：</w:t>
      </w:r>
      <w:r>
        <w:rPr>
          <w:rFonts w:hint="eastAsia" w:ascii="仿宋_GB2312" w:eastAsia="仿宋_GB2312"/>
          <w:b w:val="0"/>
          <w:color w:val="auto"/>
          <w:sz w:val="32"/>
          <w:szCs w:val="32"/>
          <w:lang w:val="en-US" w:eastAsia="zh-CN"/>
        </w:rPr>
        <w:t>2024年与2023年均无</w:t>
      </w:r>
      <w:r>
        <w:rPr>
          <w:rFonts w:ascii="仿宋_GB2312" w:eastAsia="仿宋_GB2312"/>
          <w:b w:val="0"/>
          <w:color w:val="auto"/>
          <w:sz w:val="32"/>
          <w:szCs w:val="32"/>
        </w:rPr>
        <w:t>因公出国（境）</w:t>
      </w:r>
      <w:r>
        <w:rPr>
          <w:rFonts w:hint="eastAsia" w:ascii="仿宋_GB2312" w:eastAsia="仿宋_GB2312"/>
          <w:b w:val="0"/>
          <w:color w:val="auto"/>
          <w:sz w:val="32"/>
          <w:szCs w:val="32"/>
          <w:lang w:eastAsia="zh-CN"/>
        </w:rPr>
        <w:t>业务</w:t>
      </w:r>
      <w:r>
        <w:rPr>
          <w:rFonts w:ascii="仿宋_GB2312" w:eastAsia="仿宋_GB2312"/>
          <w:b w:val="0"/>
          <w:color w:val="auto"/>
          <w:sz w:val="32"/>
          <w:szCs w:val="32"/>
        </w:rPr>
        <w:t>；公务用车购置及运行维护费支出34.10万元，占97.15%</w:t>
      </w:r>
      <w:r>
        <w:rPr>
          <w:rFonts w:hint="eastAsia" w:ascii="仿宋_GB2312" w:eastAsia="仿宋_GB2312"/>
          <w:b w:val="0"/>
          <w:color w:val="auto"/>
          <w:sz w:val="32"/>
          <w:szCs w:val="32"/>
          <w:lang w:eastAsia="zh-CN"/>
        </w:rPr>
        <w:t>，</w:t>
      </w:r>
      <w:r>
        <w:rPr>
          <w:rFonts w:ascii="仿宋_GB2312" w:eastAsia="仿宋_GB2312"/>
          <w:b w:val="0"/>
          <w:color w:val="auto"/>
          <w:sz w:val="32"/>
          <w:szCs w:val="32"/>
        </w:rPr>
        <w:t>比上年增加0.00万元，增长0.00%，主要原因是：</w:t>
      </w:r>
      <w:r>
        <w:rPr>
          <w:rFonts w:hint="eastAsia" w:ascii="仿宋_GB2312" w:eastAsia="仿宋_GB2312"/>
          <w:b w:val="0"/>
          <w:color w:val="auto"/>
          <w:sz w:val="32"/>
          <w:szCs w:val="32"/>
          <w:lang w:val="en-US" w:eastAsia="zh-CN"/>
        </w:rPr>
        <w:t>2024年与2023年公车运行维护费一致</w:t>
      </w:r>
      <w:r>
        <w:rPr>
          <w:rFonts w:ascii="仿宋_GB2312" w:eastAsia="仿宋_GB2312"/>
          <w:b w:val="0"/>
          <w:color w:val="auto"/>
          <w:sz w:val="32"/>
          <w:szCs w:val="32"/>
        </w:rPr>
        <w:t>；公务接待费支出1.00万元，占2.85%，比上年减少1.32万元</w:t>
      </w:r>
      <w:r>
        <w:rPr>
          <w:rFonts w:hint="eastAsia" w:ascii="仿宋_GB2312" w:eastAsia="仿宋_GB2312"/>
          <w:b w:val="0"/>
          <w:color w:val="auto"/>
          <w:sz w:val="32"/>
          <w:szCs w:val="32"/>
          <w:lang w:eastAsia="zh-CN"/>
        </w:rPr>
        <w:t>，</w:t>
      </w:r>
      <w:r>
        <w:rPr>
          <w:rFonts w:ascii="仿宋_GB2312" w:eastAsia="仿宋_GB2312"/>
          <w:b w:val="0"/>
          <w:color w:val="auto"/>
          <w:sz w:val="32"/>
          <w:szCs w:val="32"/>
        </w:rPr>
        <w:t>下降56.90%，主要原因是：</w:t>
      </w:r>
      <w:r>
        <w:rPr>
          <w:rFonts w:hint="eastAsia" w:ascii="仿宋_GB2312" w:eastAsia="仿宋_GB2312"/>
          <w:b w:val="0"/>
          <w:color w:val="auto"/>
          <w:sz w:val="32"/>
          <w:szCs w:val="32"/>
          <w:lang w:val="en-US" w:eastAsia="zh-CN"/>
        </w:rPr>
        <w:t>严格执行中央八项规定，厉行节约，严格控制</w:t>
      </w:r>
      <w:r>
        <w:rPr>
          <w:rFonts w:ascii="仿宋_GB2312" w:eastAsia="仿宋_GB2312"/>
          <w:b w:val="0"/>
          <w:color w:val="auto"/>
          <w:sz w:val="32"/>
          <w:szCs w:val="32"/>
        </w:rPr>
        <w:t>公务接待</w:t>
      </w:r>
      <w:r>
        <w:rPr>
          <w:rFonts w:hint="eastAsia" w:ascii="仿宋_GB2312" w:eastAsia="仿宋_GB2312"/>
          <w:b w:val="0"/>
          <w:color w:val="auto"/>
          <w:sz w:val="32"/>
          <w:szCs w:val="32"/>
          <w:lang w:eastAsia="zh-CN"/>
        </w:rPr>
        <w:t>人次</w:t>
      </w:r>
      <w:r>
        <w:rPr>
          <w:rFonts w:ascii="仿宋_GB2312" w:eastAsia="仿宋_GB2312"/>
          <w:b w:val="0"/>
          <w:color w:val="auto"/>
          <w:sz w:val="32"/>
          <w:szCs w:val="32"/>
        </w:rPr>
        <w:t>。</w:t>
      </w:r>
    </w:p>
    <w:p>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560" w:lineRule="exact"/>
        <w:ind w:firstLine="640" w:firstLineChars="200"/>
        <w:jc w:val="left"/>
        <w:textAlignment w:val="auto"/>
        <w:rPr>
          <w:rFonts w:ascii="仿宋_GB2312" w:eastAsia="仿宋_GB2312"/>
          <w:color w:val="auto"/>
          <w:sz w:val="32"/>
          <w:szCs w:val="32"/>
        </w:rPr>
      </w:pPr>
      <w:r>
        <w:rPr>
          <w:rFonts w:ascii="仿宋_GB2312" w:eastAsia="仿宋_GB2312"/>
          <w:b w:val="0"/>
          <w:color w:val="auto"/>
          <w:sz w:val="32"/>
          <w:szCs w:val="32"/>
        </w:rPr>
        <w:t>具体情况如下：</w:t>
      </w:r>
    </w:p>
    <w:p>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560" w:lineRule="exact"/>
        <w:ind w:firstLine="640" w:firstLineChars="200"/>
        <w:jc w:val="both"/>
        <w:textAlignment w:val="auto"/>
        <w:rPr>
          <w:rFonts w:ascii="仿宋_GB2312" w:eastAsia="仿宋_GB2312"/>
          <w:color w:val="auto"/>
          <w:sz w:val="32"/>
          <w:szCs w:val="32"/>
        </w:rPr>
      </w:pPr>
      <w:r>
        <w:rPr>
          <w:rFonts w:ascii="仿宋_GB2312" w:eastAsia="仿宋_GB2312"/>
          <w:b w:val="0"/>
          <w:color w:val="auto"/>
          <w:sz w:val="32"/>
          <w:szCs w:val="32"/>
        </w:rPr>
        <w:t>因公出国（境）费支出0.00万元，开支内容包括</w:t>
      </w:r>
      <w:r>
        <w:rPr>
          <w:rFonts w:hint="eastAsia" w:ascii="仿宋_GB2312" w:eastAsia="仿宋_GB2312"/>
          <w:b w:val="0"/>
          <w:color w:val="auto"/>
          <w:sz w:val="32"/>
          <w:szCs w:val="32"/>
          <w:lang w:eastAsia="zh-CN"/>
        </w:rPr>
        <w:t>无</w:t>
      </w:r>
      <w:r>
        <w:rPr>
          <w:rFonts w:ascii="仿宋_GB2312" w:eastAsia="仿宋_GB2312"/>
          <w:b w:val="0"/>
          <w:color w:val="auto"/>
          <w:sz w:val="32"/>
          <w:szCs w:val="32"/>
        </w:rPr>
        <w:t>因公出国（境）</w:t>
      </w:r>
      <w:r>
        <w:rPr>
          <w:rFonts w:hint="eastAsia" w:ascii="仿宋_GB2312" w:eastAsia="仿宋_GB2312"/>
          <w:b w:val="0"/>
          <w:color w:val="auto"/>
          <w:sz w:val="32"/>
          <w:szCs w:val="32"/>
          <w:lang w:eastAsia="zh-CN"/>
        </w:rPr>
        <w:t>业务</w:t>
      </w:r>
      <w:r>
        <w:rPr>
          <w:rFonts w:ascii="仿宋_GB2312" w:eastAsia="仿宋_GB2312"/>
          <w:b w:val="0"/>
          <w:color w:val="auto"/>
          <w:sz w:val="32"/>
          <w:szCs w:val="32"/>
        </w:rPr>
        <w:t>。单位全年安排的因公出国（境）团组0个，因公出国（境）0人次。</w:t>
      </w:r>
    </w:p>
    <w:p>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560" w:lineRule="exact"/>
        <w:ind w:firstLine="640" w:firstLineChars="200"/>
        <w:jc w:val="both"/>
        <w:textAlignment w:val="auto"/>
        <w:rPr>
          <w:rFonts w:ascii="仿宋_GB2312" w:eastAsia="仿宋_GB2312"/>
          <w:color w:val="auto"/>
          <w:sz w:val="32"/>
          <w:szCs w:val="32"/>
        </w:rPr>
      </w:pPr>
      <w:r>
        <w:rPr>
          <w:rFonts w:ascii="仿宋_GB2312" w:eastAsia="仿宋_GB2312"/>
          <w:b w:val="0"/>
          <w:color w:val="auto"/>
          <w:sz w:val="32"/>
          <w:szCs w:val="32"/>
        </w:rPr>
        <w:t>公务用车购置及运行维护费34.10万元，其中：公务用车购置费0.00万元，公务用车运行维护费34.10万元。公务用车运行维护费开支内容包括</w:t>
      </w:r>
      <w:r>
        <w:rPr>
          <w:rFonts w:hint="eastAsia" w:ascii="仿宋_GB2312" w:eastAsia="仿宋_GB2312"/>
          <w:b w:val="0"/>
          <w:color w:val="auto"/>
          <w:sz w:val="32"/>
          <w:szCs w:val="32"/>
          <w:lang w:eastAsia="zh-CN"/>
        </w:rPr>
        <w:t>车辆维修保养、燃油费、</w:t>
      </w:r>
      <w:r>
        <w:rPr>
          <w:rFonts w:hint="eastAsia" w:ascii="仿宋_GB2312" w:eastAsia="仿宋_GB2312"/>
          <w:b w:val="0"/>
          <w:color w:val="auto"/>
          <w:sz w:val="32"/>
          <w:szCs w:val="32"/>
          <w:lang w:val="en-US" w:eastAsia="zh-CN"/>
        </w:rPr>
        <w:t>保险费、过路过桥费、停车费</w:t>
      </w:r>
      <w:r>
        <w:rPr>
          <w:rFonts w:ascii="仿宋_GB2312" w:eastAsia="仿宋_GB2312"/>
          <w:b w:val="0"/>
          <w:color w:val="auto"/>
          <w:sz w:val="32"/>
          <w:szCs w:val="32"/>
        </w:rPr>
        <w:t>。公务用车购置数0辆，公务用车保有量12辆。国有资产占用情况中固定资产车辆12辆，与公务用车保有量差异原因是：固定资产车辆与公务用车保有量</w:t>
      </w:r>
      <w:r>
        <w:rPr>
          <w:rFonts w:hint="eastAsia" w:ascii="仿宋_GB2312" w:eastAsia="仿宋_GB2312"/>
          <w:b w:val="0"/>
          <w:color w:val="auto"/>
          <w:sz w:val="32"/>
          <w:szCs w:val="32"/>
          <w:lang w:eastAsia="zh-CN"/>
        </w:rPr>
        <w:t>无</w:t>
      </w:r>
      <w:r>
        <w:rPr>
          <w:rFonts w:ascii="仿宋_GB2312" w:eastAsia="仿宋_GB2312"/>
          <w:b w:val="0"/>
          <w:color w:val="auto"/>
          <w:sz w:val="32"/>
          <w:szCs w:val="32"/>
        </w:rPr>
        <w:t>差异。</w:t>
      </w:r>
    </w:p>
    <w:p>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560" w:lineRule="exact"/>
        <w:ind w:firstLine="640" w:firstLineChars="200"/>
        <w:jc w:val="both"/>
        <w:textAlignment w:val="auto"/>
        <w:rPr>
          <w:rFonts w:ascii="仿宋_GB2312" w:eastAsia="仿宋_GB2312"/>
          <w:color w:val="auto"/>
          <w:sz w:val="32"/>
          <w:szCs w:val="32"/>
        </w:rPr>
      </w:pPr>
      <w:r>
        <w:rPr>
          <w:rFonts w:ascii="仿宋_GB2312" w:eastAsia="仿宋_GB2312"/>
          <w:b w:val="0"/>
          <w:color w:val="auto"/>
          <w:sz w:val="32"/>
          <w:szCs w:val="32"/>
        </w:rPr>
        <w:t>公务接待费1.00万元，开支内容包括</w:t>
      </w:r>
      <w:r>
        <w:rPr>
          <w:rFonts w:hint="eastAsia" w:ascii="仿宋_GB2312" w:eastAsia="仿宋_GB2312"/>
          <w:b w:val="0"/>
          <w:color w:val="auto"/>
          <w:sz w:val="32"/>
          <w:szCs w:val="32"/>
        </w:rPr>
        <w:t>接待上级领导检查</w:t>
      </w:r>
      <w:r>
        <w:rPr>
          <w:rFonts w:hint="eastAsia" w:ascii="仿宋_GB2312" w:eastAsia="仿宋_GB2312"/>
          <w:b w:val="0"/>
          <w:color w:val="auto"/>
          <w:sz w:val="32"/>
          <w:szCs w:val="32"/>
          <w:lang w:val="en-US" w:eastAsia="zh-CN"/>
        </w:rPr>
        <w:t>产生的就餐</w:t>
      </w:r>
      <w:r>
        <w:rPr>
          <w:rFonts w:hint="eastAsia" w:ascii="仿宋_GB2312" w:eastAsia="仿宋_GB2312"/>
          <w:b w:val="0"/>
          <w:color w:val="auto"/>
          <w:sz w:val="32"/>
          <w:szCs w:val="32"/>
          <w:lang w:eastAsia="zh-CN"/>
        </w:rPr>
        <w:t>费</w:t>
      </w:r>
      <w:r>
        <w:rPr>
          <w:rFonts w:ascii="仿宋_GB2312" w:eastAsia="仿宋_GB2312"/>
          <w:b w:val="0"/>
          <w:color w:val="auto"/>
          <w:sz w:val="32"/>
          <w:szCs w:val="32"/>
        </w:rPr>
        <w:t>。单位全年安排的国内公务接待7批次，38人次。</w:t>
      </w:r>
    </w:p>
    <w:p>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560" w:lineRule="exact"/>
        <w:ind w:firstLine="640" w:firstLineChars="200"/>
        <w:jc w:val="both"/>
        <w:textAlignment w:val="auto"/>
        <w:rPr>
          <w:rFonts w:ascii="仿宋_GB2312" w:eastAsia="仿宋_GB2312"/>
          <w:color w:val="auto"/>
          <w:sz w:val="32"/>
          <w:szCs w:val="32"/>
        </w:rPr>
      </w:pPr>
      <w:r>
        <w:rPr>
          <w:rFonts w:ascii="仿宋_GB2312" w:eastAsia="仿宋_GB2312"/>
          <w:b w:val="0"/>
          <w:color w:val="auto"/>
          <w:sz w:val="32"/>
          <w:szCs w:val="32"/>
        </w:rPr>
        <w:t>与全年预算相比，财政拨款</w:t>
      </w:r>
      <w:r>
        <w:rPr>
          <w:rFonts w:hint="eastAsia" w:ascii="仿宋_GB2312" w:eastAsia="仿宋_GB2312"/>
          <w:b w:val="0"/>
          <w:color w:val="auto"/>
          <w:sz w:val="32"/>
          <w:szCs w:val="32"/>
          <w:lang w:eastAsia="zh-CN"/>
        </w:rPr>
        <w:t>“</w:t>
      </w:r>
      <w:r>
        <w:rPr>
          <w:rFonts w:ascii="仿宋_GB2312" w:eastAsia="仿宋_GB2312"/>
          <w:b w:val="0"/>
          <w:color w:val="auto"/>
          <w:sz w:val="32"/>
          <w:szCs w:val="32"/>
        </w:rPr>
        <w:t>三公</w:t>
      </w:r>
      <w:r>
        <w:rPr>
          <w:rFonts w:hint="eastAsia" w:ascii="仿宋_GB2312" w:eastAsia="仿宋_GB2312"/>
          <w:b w:val="0"/>
          <w:color w:val="auto"/>
          <w:sz w:val="32"/>
          <w:szCs w:val="32"/>
          <w:lang w:eastAsia="zh-CN"/>
        </w:rPr>
        <w:t>”</w:t>
      </w:r>
      <w:r>
        <w:rPr>
          <w:rFonts w:ascii="仿宋_GB2312" w:eastAsia="仿宋_GB2312"/>
          <w:b w:val="0"/>
          <w:color w:val="auto"/>
          <w:sz w:val="32"/>
          <w:szCs w:val="32"/>
        </w:rPr>
        <w:t>经费支出全年预算数35.10万元，决算数35.10万元，预决算差异率0.00%，主要原因是：</w:t>
      </w:r>
      <w:r>
        <w:rPr>
          <w:rFonts w:hint="eastAsia" w:ascii="仿宋_GB2312" w:eastAsia="仿宋_GB2312"/>
          <w:b w:val="0"/>
          <w:color w:val="auto"/>
          <w:sz w:val="32"/>
          <w:szCs w:val="32"/>
          <w:lang w:eastAsia="zh-CN"/>
        </w:rPr>
        <w:t>厉行节约，严格控制“</w:t>
      </w:r>
      <w:r>
        <w:rPr>
          <w:rFonts w:ascii="仿宋_GB2312" w:eastAsia="仿宋_GB2312"/>
          <w:b w:val="0"/>
          <w:color w:val="auto"/>
          <w:sz w:val="32"/>
          <w:szCs w:val="32"/>
        </w:rPr>
        <w:t>三公</w:t>
      </w:r>
      <w:r>
        <w:rPr>
          <w:rFonts w:hint="eastAsia" w:ascii="仿宋_GB2312" w:eastAsia="仿宋_GB2312"/>
          <w:b w:val="0"/>
          <w:color w:val="auto"/>
          <w:sz w:val="32"/>
          <w:szCs w:val="32"/>
          <w:lang w:eastAsia="zh-CN"/>
        </w:rPr>
        <w:t>”</w:t>
      </w:r>
      <w:r>
        <w:rPr>
          <w:rFonts w:ascii="仿宋_GB2312" w:eastAsia="仿宋_GB2312"/>
          <w:b w:val="0"/>
          <w:color w:val="auto"/>
          <w:sz w:val="32"/>
          <w:szCs w:val="32"/>
        </w:rPr>
        <w:t>经费支出</w:t>
      </w:r>
      <w:r>
        <w:rPr>
          <w:rFonts w:hint="eastAsia" w:ascii="仿宋_GB2312" w:eastAsia="仿宋_GB2312"/>
          <w:b w:val="0"/>
          <w:color w:val="auto"/>
          <w:sz w:val="32"/>
          <w:szCs w:val="32"/>
          <w:lang w:eastAsia="zh-CN"/>
        </w:rPr>
        <w:t>，预决算一致，无差异</w:t>
      </w:r>
      <w:r>
        <w:rPr>
          <w:rFonts w:ascii="仿宋_GB2312" w:eastAsia="仿宋_GB2312"/>
          <w:b w:val="0"/>
          <w:color w:val="auto"/>
          <w:sz w:val="32"/>
          <w:szCs w:val="32"/>
        </w:rPr>
        <w:t>。其中：因公出国（境）费全年预算数0.00万元，决算数0.00万元，预决算差异率0.00%，主要原因是：</w:t>
      </w:r>
      <w:r>
        <w:rPr>
          <w:rFonts w:hint="eastAsia" w:ascii="仿宋_GB2312" w:hAnsi="仿宋" w:eastAsia="仿宋_GB2312" w:cs="仿宋"/>
          <w:bCs/>
          <w:color w:val="auto"/>
          <w:sz w:val="32"/>
          <w:szCs w:val="32"/>
        </w:rPr>
        <w:t>因公出国（境）费用年初预算未安排，本年实际也未发生相关费用</w:t>
      </w:r>
      <w:r>
        <w:rPr>
          <w:rFonts w:ascii="仿宋_GB2312" w:eastAsia="仿宋_GB2312"/>
          <w:b w:val="0"/>
          <w:color w:val="auto"/>
          <w:sz w:val="32"/>
          <w:szCs w:val="32"/>
        </w:rPr>
        <w:t>。公务用车购置费全年预算数0.00万元，决算数0.00万元，预决算差异率0.00%，主要原因是：公务用车购置</w:t>
      </w:r>
      <w:r>
        <w:rPr>
          <w:rFonts w:hint="eastAsia" w:ascii="仿宋_GB2312" w:hAnsi="仿宋" w:eastAsia="仿宋_GB2312" w:cs="仿宋"/>
          <w:bCs/>
          <w:color w:val="auto"/>
          <w:sz w:val="32"/>
          <w:szCs w:val="32"/>
        </w:rPr>
        <w:t>费用年初预算未安排，本年实际也未发生相关费用</w:t>
      </w:r>
      <w:r>
        <w:rPr>
          <w:rFonts w:ascii="仿宋_GB2312" w:eastAsia="仿宋_GB2312"/>
          <w:b w:val="0"/>
          <w:color w:val="auto"/>
          <w:sz w:val="32"/>
          <w:szCs w:val="32"/>
        </w:rPr>
        <w:t>。公务用车运行维护费全年预算数34.10万元，决算数34.10万元，预决算差异率0.00%，主要原因是：</w:t>
      </w:r>
      <w:r>
        <w:rPr>
          <w:rFonts w:hint="eastAsia" w:ascii="仿宋_GB2312" w:eastAsia="仿宋_GB2312"/>
          <w:b w:val="0"/>
          <w:color w:val="auto"/>
          <w:sz w:val="32"/>
          <w:szCs w:val="32"/>
          <w:lang w:eastAsia="zh-CN"/>
        </w:rPr>
        <w:t>厉行节约，严格控制</w:t>
      </w:r>
      <w:r>
        <w:rPr>
          <w:rFonts w:ascii="仿宋_GB2312" w:eastAsia="仿宋_GB2312"/>
          <w:b w:val="0"/>
          <w:color w:val="auto"/>
          <w:sz w:val="32"/>
          <w:szCs w:val="32"/>
        </w:rPr>
        <w:t>公务用车运行维护费支出</w:t>
      </w:r>
      <w:r>
        <w:rPr>
          <w:rFonts w:hint="eastAsia" w:ascii="仿宋_GB2312" w:eastAsia="仿宋_GB2312"/>
          <w:b w:val="0"/>
          <w:color w:val="auto"/>
          <w:sz w:val="32"/>
          <w:szCs w:val="32"/>
          <w:lang w:eastAsia="zh-CN"/>
        </w:rPr>
        <w:t>，预决算一致，无差异</w:t>
      </w:r>
      <w:r>
        <w:rPr>
          <w:rFonts w:ascii="仿宋_GB2312" w:eastAsia="仿宋_GB2312"/>
          <w:b w:val="0"/>
          <w:color w:val="auto"/>
          <w:sz w:val="32"/>
          <w:szCs w:val="32"/>
        </w:rPr>
        <w:t>。公务接待费全年预算数1.00万元，决算数1.00万元，预决算差异率0.00%，主要原因是：</w:t>
      </w:r>
      <w:r>
        <w:rPr>
          <w:rFonts w:hint="eastAsia" w:ascii="仿宋_GB2312" w:eastAsia="仿宋_GB2312"/>
          <w:b w:val="0"/>
          <w:color w:val="auto"/>
          <w:sz w:val="32"/>
          <w:szCs w:val="32"/>
          <w:lang w:eastAsia="zh-CN"/>
        </w:rPr>
        <w:t>预决算一致，无差异</w:t>
      </w:r>
      <w:r>
        <w:rPr>
          <w:rFonts w:ascii="仿宋_GB2312" w:eastAsia="仿宋_GB2312"/>
          <w:b w:val="0"/>
          <w:color w:val="auto"/>
          <w:sz w:val="32"/>
          <w:szCs w:val="32"/>
        </w:rPr>
        <w:t>。</w:t>
      </w:r>
    </w:p>
    <w:p>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560" w:lineRule="exact"/>
        <w:ind w:firstLine="640" w:firstLineChars="200"/>
        <w:jc w:val="left"/>
        <w:textAlignment w:val="auto"/>
        <w:outlineLvl w:val="1"/>
        <w:rPr>
          <w:rFonts w:ascii="黑体" w:eastAsia="黑体"/>
          <w:color w:val="auto"/>
          <w:sz w:val="32"/>
          <w:szCs w:val="32"/>
        </w:rPr>
      </w:pPr>
      <w:r>
        <w:rPr>
          <w:rFonts w:ascii="黑体" w:eastAsia="黑体"/>
          <w:b w:val="0"/>
          <w:color w:val="auto"/>
          <w:sz w:val="32"/>
          <w:szCs w:val="32"/>
        </w:rPr>
        <w:t>十、其他重要事项的情况说明</w:t>
      </w:r>
    </w:p>
    <w:p>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560" w:lineRule="exact"/>
        <w:ind w:firstLine="643" w:firstLineChars="200"/>
        <w:jc w:val="left"/>
        <w:textAlignment w:val="auto"/>
        <w:outlineLvl w:val="2"/>
        <w:rPr>
          <w:rFonts w:ascii="仿宋_GB2312" w:eastAsia="仿宋_GB2312"/>
          <w:color w:val="auto"/>
          <w:sz w:val="32"/>
          <w:szCs w:val="32"/>
        </w:rPr>
      </w:pPr>
      <w:r>
        <w:rPr>
          <w:rFonts w:ascii="仿宋_GB2312" w:eastAsia="仿宋_GB2312"/>
          <w:b/>
          <w:color w:val="auto"/>
          <w:sz w:val="32"/>
          <w:szCs w:val="32"/>
        </w:rPr>
        <w:t>（一）机关运行经费及公用经费支出情况</w:t>
      </w:r>
    </w:p>
    <w:p>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560" w:lineRule="exact"/>
        <w:ind w:firstLine="640" w:firstLineChars="200"/>
        <w:jc w:val="both"/>
        <w:textAlignment w:val="auto"/>
        <w:rPr>
          <w:rFonts w:ascii="仿宋_GB2312" w:eastAsia="仿宋_GB2312"/>
          <w:color w:val="auto"/>
          <w:sz w:val="32"/>
          <w:szCs w:val="32"/>
        </w:rPr>
      </w:pPr>
      <w:r>
        <w:rPr>
          <w:rFonts w:ascii="仿宋_GB2312" w:eastAsia="仿宋_GB2312"/>
          <w:b w:val="0"/>
          <w:color w:val="auto"/>
          <w:sz w:val="32"/>
          <w:szCs w:val="32"/>
        </w:rPr>
        <w:t>2024年度新疆维吾尔自治区粮食和物资储备局（机关）单位机关运行经费支出271.12万元，比上年增加65.88万元，增长32.10%，主要原因是：</w:t>
      </w:r>
      <w:r>
        <w:rPr>
          <w:rFonts w:hint="eastAsia" w:ascii="仿宋_GB2312" w:eastAsia="仿宋_GB2312"/>
          <w:b w:val="0"/>
          <w:color w:val="auto"/>
          <w:sz w:val="32"/>
          <w:szCs w:val="32"/>
          <w:lang w:eastAsia="zh-CN"/>
        </w:rPr>
        <w:t>本年</w:t>
      </w:r>
      <w:r>
        <w:rPr>
          <w:rFonts w:hint="eastAsia" w:ascii="仿宋_GB2312" w:hAnsi="仿宋" w:eastAsia="仿宋_GB2312"/>
          <w:color w:val="auto"/>
          <w:sz w:val="32"/>
          <w:szCs w:val="32"/>
          <w:lang w:val="en-US" w:eastAsia="zh-CN"/>
        </w:rPr>
        <w:t>业务量增加，办公费等支出增加</w:t>
      </w:r>
      <w:r>
        <w:rPr>
          <w:rFonts w:ascii="仿宋_GB2312" w:eastAsia="仿宋_GB2312"/>
          <w:b w:val="0"/>
          <w:color w:val="auto"/>
          <w:sz w:val="32"/>
          <w:szCs w:val="32"/>
        </w:rPr>
        <w:t>。</w:t>
      </w:r>
    </w:p>
    <w:p>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560" w:lineRule="exact"/>
        <w:ind w:firstLine="643" w:firstLineChars="200"/>
        <w:jc w:val="left"/>
        <w:textAlignment w:val="auto"/>
        <w:outlineLvl w:val="2"/>
        <w:rPr>
          <w:rFonts w:ascii="仿宋_GB2312" w:eastAsia="仿宋_GB2312"/>
          <w:color w:val="auto"/>
          <w:sz w:val="32"/>
          <w:szCs w:val="32"/>
        </w:rPr>
      </w:pPr>
      <w:r>
        <w:rPr>
          <w:rFonts w:ascii="仿宋_GB2312" w:eastAsia="仿宋_GB2312"/>
          <w:b/>
          <w:color w:val="auto"/>
          <w:sz w:val="32"/>
          <w:szCs w:val="32"/>
        </w:rPr>
        <w:t>（二）政府采购情况</w:t>
      </w:r>
    </w:p>
    <w:p>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560" w:lineRule="exact"/>
        <w:ind w:firstLine="640" w:firstLineChars="200"/>
        <w:jc w:val="both"/>
        <w:textAlignment w:val="auto"/>
        <w:rPr>
          <w:rFonts w:ascii="仿宋_GB2312" w:eastAsia="仿宋_GB2312"/>
          <w:color w:val="auto"/>
          <w:sz w:val="32"/>
          <w:szCs w:val="32"/>
        </w:rPr>
      </w:pPr>
      <w:r>
        <w:rPr>
          <w:rFonts w:ascii="仿宋_GB2312" w:eastAsia="仿宋_GB2312"/>
          <w:b w:val="0"/>
          <w:color w:val="auto"/>
          <w:sz w:val="32"/>
          <w:szCs w:val="32"/>
        </w:rPr>
        <w:t>2024年度政府采购支出总额59.40万元，其中：政府采购货物支出42.39万元、政府采购工程支出0.00万元、政府采购服务支出17.01万元。</w:t>
      </w:r>
    </w:p>
    <w:p>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560" w:lineRule="exact"/>
        <w:ind w:firstLine="640" w:firstLineChars="200"/>
        <w:jc w:val="both"/>
        <w:textAlignment w:val="auto"/>
        <w:rPr>
          <w:rFonts w:ascii="仿宋_GB2312" w:eastAsia="仿宋_GB2312"/>
          <w:color w:val="auto"/>
          <w:sz w:val="32"/>
          <w:szCs w:val="32"/>
        </w:rPr>
      </w:pPr>
      <w:r>
        <w:rPr>
          <w:rFonts w:ascii="仿宋_GB2312" w:eastAsia="仿宋_GB2312"/>
          <w:b w:val="0"/>
          <w:color w:val="auto"/>
          <w:sz w:val="32"/>
          <w:szCs w:val="32"/>
        </w:rPr>
        <w:t>授予中小企业合同金额54.91万元，占政府采购支出总额的92.44%，其中：授予小微企业合同金额41.51万元，占政府采购支出总额的69.88%。</w:t>
      </w:r>
    </w:p>
    <w:p>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560" w:lineRule="exact"/>
        <w:ind w:firstLine="643" w:firstLineChars="200"/>
        <w:jc w:val="left"/>
        <w:textAlignment w:val="auto"/>
        <w:outlineLvl w:val="2"/>
        <w:rPr>
          <w:rFonts w:ascii="仿宋_GB2312" w:eastAsia="仿宋_GB2312"/>
          <w:color w:val="auto"/>
          <w:sz w:val="32"/>
          <w:szCs w:val="32"/>
        </w:rPr>
      </w:pPr>
      <w:r>
        <w:rPr>
          <w:rFonts w:ascii="仿宋_GB2312" w:eastAsia="仿宋_GB2312"/>
          <w:b/>
          <w:color w:val="auto"/>
          <w:sz w:val="32"/>
          <w:szCs w:val="32"/>
        </w:rPr>
        <w:t>（三）国有资产占用情况说明</w:t>
      </w:r>
    </w:p>
    <w:p>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560" w:lineRule="exact"/>
        <w:ind w:firstLine="640" w:firstLineChars="200"/>
        <w:jc w:val="both"/>
        <w:textAlignment w:val="auto"/>
        <w:rPr>
          <w:rFonts w:ascii="仿宋_GB2312" w:eastAsia="仿宋_GB2312"/>
          <w:color w:val="auto"/>
          <w:sz w:val="32"/>
          <w:szCs w:val="32"/>
        </w:rPr>
      </w:pPr>
      <w:r>
        <w:rPr>
          <w:rFonts w:ascii="仿宋_GB2312" w:eastAsia="仿宋_GB2312"/>
          <w:b w:val="0"/>
          <w:color w:val="auto"/>
          <w:sz w:val="32"/>
          <w:szCs w:val="32"/>
        </w:rPr>
        <w:t>截至2024年12月31日，房屋4,796.00平方米，价值1,864.90万元。车辆12辆，价值412.19万元，其中：副部（省）级及以上领导用车0辆、主要负责人用车2辆、机要通信用车0辆、应急保障用车0辆、执法执勤用车0辆、特种专业技术用车0辆、离退休干部服务用车0辆、其他用车10辆，其他用车主要是：</w:t>
      </w:r>
      <w:r>
        <w:rPr>
          <w:rFonts w:hint="eastAsia" w:ascii="仿宋_GB2312" w:eastAsia="仿宋_GB2312"/>
          <w:b w:val="0"/>
          <w:color w:val="auto"/>
          <w:sz w:val="32"/>
          <w:szCs w:val="32"/>
          <w:lang w:eastAsia="zh-CN"/>
        </w:rPr>
        <w:t>一般</w:t>
      </w:r>
      <w:r>
        <w:rPr>
          <w:rFonts w:hint="eastAsia" w:ascii="仿宋_GB2312" w:eastAsia="仿宋_GB2312"/>
          <w:b w:val="0"/>
          <w:color w:val="auto"/>
          <w:sz w:val="32"/>
          <w:szCs w:val="32"/>
          <w:lang w:val="en-US" w:eastAsia="zh-CN"/>
        </w:rPr>
        <w:t>公务</w:t>
      </w:r>
      <w:r>
        <w:rPr>
          <w:rFonts w:hint="eastAsia" w:ascii="仿宋_GB2312" w:eastAsia="仿宋_GB2312"/>
          <w:b w:val="0"/>
          <w:color w:val="auto"/>
          <w:sz w:val="32"/>
          <w:szCs w:val="32"/>
          <w:lang w:eastAsia="zh-CN"/>
        </w:rPr>
        <w:t>用车</w:t>
      </w:r>
      <w:r>
        <w:rPr>
          <w:rFonts w:ascii="仿宋_GB2312" w:eastAsia="仿宋_GB2312"/>
          <w:b w:val="0"/>
          <w:color w:val="auto"/>
          <w:sz w:val="32"/>
          <w:szCs w:val="32"/>
        </w:rPr>
        <w:t>;单价100万元（含）以上设备（不含车辆）1台（套）。</w:t>
      </w:r>
    </w:p>
    <w:p>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560" w:lineRule="exact"/>
        <w:ind w:firstLine="640" w:firstLineChars="200"/>
        <w:jc w:val="left"/>
        <w:textAlignment w:val="auto"/>
        <w:outlineLvl w:val="1"/>
        <w:rPr>
          <w:rFonts w:ascii="黑体" w:eastAsia="黑体"/>
          <w:color w:val="auto"/>
          <w:sz w:val="32"/>
          <w:szCs w:val="32"/>
        </w:rPr>
      </w:pPr>
      <w:r>
        <w:rPr>
          <w:rFonts w:ascii="黑体" w:eastAsia="黑体"/>
          <w:b w:val="0"/>
          <w:color w:val="auto"/>
          <w:sz w:val="32"/>
          <w:szCs w:val="32"/>
        </w:rPr>
        <w:t>十一、预算绩效的情况说明</w:t>
      </w:r>
    </w:p>
    <w:p>
      <w:pPr>
        <w:keepNext w:val="0"/>
        <w:keepLines w:val="0"/>
        <w:pageBreakBefore w:val="0"/>
        <w:widowControl/>
        <w:suppressLineNumbers w:val="0"/>
        <w:kinsoku/>
        <w:wordWrap/>
        <w:overflowPunct/>
        <w:topLinePunct w:val="0"/>
        <w:autoSpaceDE/>
        <w:autoSpaceDN/>
        <w:bidi w:val="0"/>
        <w:adjustRightInd/>
        <w:snapToGrid w:val="0"/>
        <w:spacing w:after="0" w:line="560" w:lineRule="exact"/>
        <w:ind w:firstLine="640" w:firstLineChars="200"/>
        <w:jc w:val="left"/>
        <w:textAlignment w:val="auto"/>
        <w:rPr>
          <w:rFonts w:ascii="仿宋_GB2312" w:eastAsia="仿宋_GB2312"/>
          <w:color w:val="auto"/>
          <w:sz w:val="32"/>
          <w:szCs w:val="32"/>
        </w:rPr>
      </w:pPr>
      <w:r>
        <w:rPr>
          <w:rFonts w:ascii="仿宋_GB2312" w:eastAsia="仿宋_GB2312"/>
          <w:b w:val="0"/>
          <w:color w:val="auto"/>
          <w:sz w:val="32"/>
          <w:szCs w:val="32"/>
        </w:rPr>
        <w:t>根据预算绩效管理要求，</w:t>
      </w:r>
      <w:r>
        <w:rPr>
          <w:rFonts w:hint="eastAsia" w:ascii="仿宋_GB2312" w:eastAsia="仿宋_GB2312"/>
          <w:b w:val="0"/>
          <w:color w:val="auto"/>
          <w:sz w:val="32"/>
          <w:szCs w:val="32"/>
          <w:lang w:val="en-US" w:eastAsia="zh-CN"/>
        </w:rPr>
        <w:t>本</w:t>
      </w:r>
      <w:r>
        <w:rPr>
          <w:rFonts w:hint="eastAsia" w:ascii="仿宋_GB2312" w:eastAsia="仿宋_GB2312"/>
          <w:b w:val="0"/>
          <w:color w:val="auto"/>
          <w:sz w:val="32"/>
          <w:szCs w:val="32"/>
          <w:lang w:eastAsia="zh-CN"/>
        </w:rPr>
        <w:t>单位2024年度预算绩效评价项目</w:t>
      </w:r>
      <w:r>
        <w:rPr>
          <w:rFonts w:hint="eastAsia" w:ascii="仿宋_GB2312" w:eastAsia="仿宋_GB2312"/>
          <w:b w:val="0"/>
          <w:color w:val="auto"/>
          <w:sz w:val="32"/>
          <w:szCs w:val="32"/>
          <w:highlight w:val="none"/>
          <w:lang w:val="en-US" w:eastAsia="zh-CN"/>
        </w:rPr>
        <w:t>8</w:t>
      </w:r>
      <w:r>
        <w:rPr>
          <w:rFonts w:hint="eastAsia" w:ascii="仿宋_GB2312" w:eastAsia="仿宋_GB2312"/>
          <w:b w:val="0"/>
          <w:color w:val="auto"/>
          <w:sz w:val="32"/>
          <w:szCs w:val="32"/>
          <w:highlight w:val="none"/>
          <w:lang w:eastAsia="zh-CN"/>
        </w:rPr>
        <w:t>个，</w:t>
      </w:r>
      <w:r>
        <w:rPr>
          <w:rFonts w:hint="eastAsia" w:ascii="仿宋_GB2312" w:eastAsia="仿宋_GB2312"/>
          <w:b w:val="0"/>
          <w:color w:val="auto"/>
          <w:sz w:val="32"/>
          <w:szCs w:val="32"/>
          <w:highlight w:val="none"/>
          <w:lang w:val="en-US" w:eastAsia="zh-CN"/>
        </w:rPr>
        <w:t>全年预算数</w:t>
      </w:r>
      <w:r>
        <w:rPr>
          <w:rFonts w:hint="eastAsia" w:ascii="仿宋_GB2312" w:eastAsia="仿宋_GB2312"/>
          <w:b w:val="0"/>
          <w:color w:val="auto"/>
          <w:sz w:val="32"/>
          <w:szCs w:val="32"/>
          <w:highlight w:val="none"/>
          <w:lang w:eastAsia="zh-CN"/>
        </w:rPr>
        <w:t>5</w:t>
      </w:r>
      <w:r>
        <w:rPr>
          <w:rFonts w:ascii="仿宋_GB2312" w:eastAsia="仿宋_GB2312"/>
          <w:b w:val="0"/>
          <w:color w:val="auto"/>
          <w:sz w:val="32"/>
          <w:szCs w:val="32"/>
          <w:highlight w:val="none"/>
        </w:rPr>
        <w:t>,</w:t>
      </w:r>
      <w:r>
        <w:rPr>
          <w:rFonts w:hint="eastAsia" w:ascii="仿宋_GB2312" w:eastAsia="仿宋_GB2312"/>
          <w:b w:val="0"/>
          <w:color w:val="auto"/>
          <w:sz w:val="32"/>
          <w:szCs w:val="32"/>
          <w:highlight w:val="none"/>
          <w:lang w:eastAsia="zh-CN"/>
        </w:rPr>
        <w:t>546.69</w:t>
      </w:r>
      <w:r>
        <w:rPr>
          <w:rFonts w:hint="eastAsia" w:ascii="仿宋_GB2312" w:eastAsia="仿宋_GB2312"/>
          <w:b w:val="0"/>
          <w:color w:val="auto"/>
          <w:sz w:val="32"/>
          <w:szCs w:val="32"/>
          <w:highlight w:val="none"/>
        </w:rPr>
        <w:t>万元</w:t>
      </w:r>
      <w:r>
        <w:rPr>
          <w:rFonts w:hint="eastAsia" w:ascii="仿宋_GB2312" w:eastAsia="仿宋_GB2312"/>
          <w:b w:val="0"/>
          <w:color w:val="auto"/>
          <w:sz w:val="32"/>
          <w:szCs w:val="32"/>
          <w:highlight w:val="none"/>
          <w:lang w:eastAsia="zh-CN"/>
        </w:rPr>
        <w:t>，</w:t>
      </w:r>
      <w:r>
        <w:rPr>
          <w:rFonts w:hint="eastAsia" w:ascii="仿宋_GB2312" w:eastAsia="仿宋_GB2312"/>
          <w:b w:val="0"/>
          <w:color w:val="auto"/>
          <w:sz w:val="32"/>
          <w:szCs w:val="32"/>
          <w:highlight w:val="none"/>
          <w:lang w:val="en-US" w:eastAsia="zh-CN"/>
        </w:rPr>
        <w:t>全年执行数</w:t>
      </w:r>
      <w:r>
        <w:rPr>
          <w:rFonts w:hint="eastAsia" w:ascii="仿宋_GB2312" w:eastAsia="仿宋_GB2312"/>
          <w:b w:val="0"/>
          <w:color w:val="auto"/>
          <w:sz w:val="32"/>
          <w:szCs w:val="32"/>
          <w:highlight w:val="none"/>
          <w:lang w:eastAsia="zh-CN"/>
        </w:rPr>
        <w:t>5</w:t>
      </w:r>
      <w:r>
        <w:rPr>
          <w:rFonts w:ascii="仿宋_GB2312" w:eastAsia="仿宋_GB2312"/>
          <w:b w:val="0"/>
          <w:color w:val="auto"/>
          <w:sz w:val="32"/>
          <w:szCs w:val="32"/>
          <w:highlight w:val="none"/>
        </w:rPr>
        <w:t>,</w:t>
      </w:r>
      <w:r>
        <w:rPr>
          <w:rFonts w:hint="eastAsia" w:ascii="仿宋_GB2312" w:eastAsia="仿宋_GB2312"/>
          <w:b w:val="0"/>
          <w:color w:val="auto"/>
          <w:sz w:val="32"/>
          <w:szCs w:val="32"/>
          <w:highlight w:val="none"/>
          <w:lang w:eastAsia="zh-CN"/>
        </w:rPr>
        <w:t>539.09</w:t>
      </w:r>
      <w:r>
        <w:rPr>
          <w:rFonts w:hint="eastAsia" w:ascii="仿宋_GB2312" w:eastAsia="仿宋_GB2312"/>
          <w:b w:val="0"/>
          <w:color w:val="auto"/>
          <w:sz w:val="32"/>
          <w:szCs w:val="32"/>
          <w:highlight w:val="none"/>
        </w:rPr>
        <w:t>万元</w:t>
      </w:r>
      <w:r>
        <w:rPr>
          <w:rFonts w:ascii="仿宋_GB2312" w:eastAsia="仿宋_GB2312"/>
          <w:b w:val="0"/>
          <w:color w:val="auto"/>
          <w:sz w:val="32"/>
          <w:szCs w:val="32"/>
          <w:highlight w:val="none"/>
        </w:rPr>
        <w:t>。预算绩效管理取得的成</w:t>
      </w:r>
      <w:r>
        <w:rPr>
          <w:rFonts w:ascii="仿宋_GB2312" w:eastAsia="仿宋_GB2312"/>
          <w:b w:val="0"/>
          <w:color w:val="auto"/>
          <w:sz w:val="32"/>
          <w:szCs w:val="32"/>
        </w:rPr>
        <w:t>效：</w:t>
      </w:r>
      <w:r>
        <w:rPr>
          <w:rFonts w:hint="eastAsia" w:ascii="仿宋_GB2312" w:eastAsia="仿宋_GB2312"/>
          <w:b w:val="0"/>
          <w:color w:val="auto"/>
          <w:sz w:val="32"/>
          <w:szCs w:val="32"/>
        </w:rPr>
        <w:t>部门预算资金使用符合国家法规和财务管理制度；预算资金拨付有完整的审批程序和手续，符合项目预算批复或合同规定的用途；不存在截留、挤占、挪用、虚列支出等情况，确保我单位预算资金规范运行</w:t>
      </w:r>
      <w:r>
        <w:rPr>
          <w:rFonts w:hint="eastAsia" w:ascii="仿宋_GB2312" w:eastAsia="仿宋_GB2312"/>
          <w:b w:val="0"/>
          <w:color w:val="auto"/>
          <w:sz w:val="32"/>
          <w:szCs w:val="32"/>
          <w:lang w:eastAsia="zh-CN"/>
        </w:rPr>
        <w:t>。</w:t>
      </w:r>
      <w:r>
        <w:rPr>
          <w:rFonts w:ascii="仿宋_GB2312" w:eastAsia="仿宋_GB2312"/>
          <w:b w:val="0"/>
          <w:color w:val="auto"/>
          <w:sz w:val="32"/>
          <w:szCs w:val="32"/>
        </w:rPr>
        <w:t>发现</w:t>
      </w:r>
      <w:r>
        <w:rPr>
          <w:rFonts w:hint="eastAsia" w:ascii="仿宋_GB2312" w:eastAsia="仿宋_GB2312"/>
          <w:b w:val="0"/>
          <w:color w:val="auto"/>
          <w:sz w:val="32"/>
          <w:szCs w:val="32"/>
        </w:rPr>
        <w:t>的问题及原因：一是部分业务人员绩效管理意识有待增强，未能全面深入认识理解绩效管理工作的意义。二是绩效管理经验不足，预算绩效管理工作有待进一步落实。下一步改进措施：一是加强学习和业务工作能力的提高，强化绩效理念；二是加大绩效工作宣传力度，强化绩效理念。三是完善绩效指标，提高整体绩效目标质量；四是继续完善预算绩效管理相关工作制度，建立全过程预算绩效管理链条，有效贯彻落实全面实施绩效管理的精神。</w:t>
      </w:r>
      <w:r>
        <w:rPr>
          <w:rFonts w:hint="eastAsia" w:ascii="仿宋_GB2312" w:eastAsia="仿宋_GB2312"/>
          <w:b w:val="0"/>
          <w:color w:val="auto"/>
          <w:sz w:val="32"/>
          <w:szCs w:val="32"/>
          <w:lang w:val="en-US" w:eastAsia="zh-CN"/>
        </w:rPr>
        <w:t>具体附项</w:t>
      </w:r>
      <w:r>
        <w:rPr>
          <w:rFonts w:hint="eastAsia" w:ascii="仿宋_GB2312" w:hAnsi="仿宋_GB2312" w:eastAsia="仿宋_GB2312" w:cs="仿宋_GB2312"/>
          <w:b w:val="0"/>
          <w:bCs w:val="0"/>
          <w:color w:val="auto"/>
          <w:kern w:val="0"/>
          <w:sz w:val="32"/>
          <w:szCs w:val="32"/>
          <w:lang w:val="en-US" w:eastAsia="zh-CN" w:bidi="ar"/>
        </w:rPr>
        <w:t>目支出绩效自评表</w:t>
      </w:r>
      <w:r>
        <w:rPr>
          <w:rFonts w:ascii="仿宋_GB2312" w:eastAsia="仿宋_GB2312"/>
          <w:b w:val="0"/>
          <w:color w:val="auto"/>
          <w:sz w:val="32"/>
          <w:szCs w:val="32"/>
        </w:rPr>
        <w:t>。</w:t>
      </w:r>
    </w:p>
    <w:p>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560" w:lineRule="exact"/>
        <w:ind w:firstLine="640" w:firstLineChars="200"/>
        <w:jc w:val="left"/>
        <w:textAlignment w:val="auto"/>
        <w:outlineLvl w:val="1"/>
        <w:rPr>
          <w:rFonts w:ascii="黑体" w:eastAsia="黑体"/>
          <w:color w:val="auto"/>
          <w:sz w:val="32"/>
          <w:szCs w:val="32"/>
        </w:rPr>
      </w:pPr>
      <w:r>
        <w:rPr>
          <w:rFonts w:ascii="黑体" w:eastAsia="黑体"/>
          <w:b w:val="0"/>
          <w:color w:val="auto"/>
          <w:sz w:val="32"/>
          <w:szCs w:val="32"/>
        </w:rPr>
        <w:t>十二、其他需说明的事项</w:t>
      </w:r>
    </w:p>
    <w:p>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560" w:lineRule="exact"/>
        <w:ind w:firstLine="640" w:firstLineChars="200"/>
        <w:jc w:val="both"/>
        <w:textAlignment w:val="auto"/>
        <w:rPr>
          <w:rFonts w:ascii="仿宋_GB2312" w:eastAsia="仿宋_GB2312"/>
          <w:color w:val="auto"/>
          <w:sz w:val="32"/>
          <w:szCs w:val="32"/>
        </w:rPr>
      </w:pPr>
      <w:r>
        <w:rPr>
          <w:rFonts w:ascii="仿宋_GB2312" w:eastAsia="仿宋_GB2312"/>
          <w:b w:val="0"/>
          <w:color w:val="auto"/>
          <w:sz w:val="32"/>
          <w:szCs w:val="32"/>
        </w:rPr>
        <w:t>本单位无其他需说明事项。</w:t>
      </w:r>
    </w:p>
    <w:p>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560" w:lineRule="exact"/>
        <w:ind w:firstLine="640" w:firstLineChars="200"/>
        <w:jc w:val="left"/>
        <w:textAlignment w:val="auto"/>
        <w:rPr>
          <w:rFonts w:ascii="仿宋_GB2312" w:eastAsia="仿宋_GB2312"/>
          <w:color w:val="auto"/>
          <w:sz w:val="32"/>
          <w:szCs w:val="32"/>
        </w:rPr>
      </w:pPr>
    </w:p>
    <w:p>
      <w:pPr>
        <w:keepNext w:val="0"/>
        <w:keepLines w:val="0"/>
        <w:pageBreakBefore w:val="0"/>
        <w:widowControl/>
        <w:kinsoku/>
        <w:wordWrap/>
        <w:overflowPunct/>
        <w:topLinePunct w:val="0"/>
        <w:autoSpaceDE/>
        <w:autoSpaceDN/>
        <w:bidi w:val="0"/>
        <w:adjustRightInd/>
        <w:snapToGrid w:val="0"/>
        <w:spacing w:line="560" w:lineRule="exact"/>
        <w:textAlignment w:val="auto"/>
        <w:rPr>
          <w:color w:val="auto"/>
        </w:rPr>
      </w:pPr>
      <w:r>
        <w:rPr>
          <w:b w:val="0"/>
          <w:color w:val="auto"/>
          <w:sz w:val="0"/>
          <w:szCs w:val="0"/>
        </w:rPr>
        <w:br w:type="page"/>
      </w:r>
    </w:p>
    <w:p>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560" w:lineRule="exact"/>
        <w:jc w:val="center"/>
        <w:textAlignment w:val="auto"/>
        <w:outlineLvl w:val="0"/>
        <w:rPr>
          <w:rFonts w:ascii="黑体" w:eastAsia="黑体"/>
          <w:color w:val="auto"/>
          <w:sz w:val="32"/>
          <w:szCs w:val="32"/>
        </w:rPr>
      </w:pPr>
      <w:r>
        <w:rPr>
          <w:rFonts w:ascii="黑体" w:eastAsia="黑体"/>
          <w:b w:val="0"/>
          <w:color w:val="auto"/>
          <w:sz w:val="32"/>
          <w:szCs w:val="32"/>
        </w:rPr>
        <w:t>第三部分专业名词解释</w:t>
      </w:r>
    </w:p>
    <w:p>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560" w:lineRule="exact"/>
        <w:ind w:firstLine="643" w:firstLineChars="200"/>
        <w:jc w:val="left"/>
        <w:textAlignment w:val="auto"/>
        <w:rPr>
          <w:rFonts w:ascii="仿宋_GB2312" w:eastAsia="仿宋_GB2312"/>
          <w:color w:val="auto"/>
          <w:sz w:val="32"/>
          <w:szCs w:val="32"/>
        </w:rPr>
      </w:pPr>
      <w:r>
        <w:rPr>
          <w:rFonts w:ascii="仿宋_GB2312" w:eastAsia="仿宋_GB2312"/>
          <w:b/>
          <w:color w:val="auto"/>
          <w:sz w:val="32"/>
          <w:szCs w:val="32"/>
        </w:rPr>
        <w:t>一、财政拨款收入：</w:t>
      </w:r>
      <w:r>
        <w:rPr>
          <w:rFonts w:ascii="仿宋_GB2312" w:eastAsia="仿宋_GB2312"/>
          <w:b w:val="0"/>
          <w:color w:val="auto"/>
          <w:sz w:val="32"/>
          <w:szCs w:val="32"/>
        </w:rPr>
        <w:t>指同级财政当年拨付的资金。</w:t>
      </w:r>
    </w:p>
    <w:p>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560" w:lineRule="exact"/>
        <w:ind w:firstLine="643" w:firstLineChars="200"/>
        <w:jc w:val="left"/>
        <w:textAlignment w:val="auto"/>
        <w:rPr>
          <w:rFonts w:ascii="仿宋_GB2312" w:eastAsia="仿宋_GB2312"/>
          <w:color w:val="auto"/>
          <w:sz w:val="32"/>
          <w:szCs w:val="32"/>
        </w:rPr>
      </w:pPr>
      <w:r>
        <w:rPr>
          <w:rFonts w:ascii="仿宋_GB2312" w:eastAsia="仿宋_GB2312"/>
          <w:b/>
          <w:color w:val="auto"/>
          <w:sz w:val="32"/>
          <w:szCs w:val="32"/>
        </w:rPr>
        <w:t>二、上级补助收入：</w:t>
      </w:r>
      <w:r>
        <w:rPr>
          <w:rFonts w:ascii="仿宋_GB2312" w:eastAsia="仿宋_GB2312"/>
          <w:b w:val="0"/>
          <w:color w:val="auto"/>
          <w:sz w:val="32"/>
          <w:szCs w:val="32"/>
        </w:rPr>
        <w:t>指事业单位从主管部门和上级单位取得的非财政补助收入。</w:t>
      </w:r>
    </w:p>
    <w:p>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560" w:lineRule="exact"/>
        <w:ind w:firstLine="643" w:firstLineChars="200"/>
        <w:jc w:val="left"/>
        <w:textAlignment w:val="auto"/>
        <w:rPr>
          <w:rFonts w:ascii="仿宋_GB2312" w:eastAsia="仿宋_GB2312"/>
          <w:color w:val="auto"/>
          <w:sz w:val="32"/>
          <w:szCs w:val="32"/>
        </w:rPr>
      </w:pPr>
      <w:r>
        <w:rPr>
          <w:rFonts w:ascii="仿宋_GB2312" w:eastAsia="仿宋_GB2312"/>
          <w:b/>
          <w:color w:val="auto"/>
          <w:sz w:val="32"/>
          <w:szCs w:val="32"/>
        </w:rPr>
        <w:t>三、事业收入：</w:t>
      </w:r>
      <w:r>
        <w:rPr>
          <w:rFonts w:ascii="仿宋_GB2312" w:eastAsia="仿宋_GB2312"/>
          <w:b w:val="0"/>
          <w:color w:val="auto"/>
          <w:sz w:val="32"/>
          <w:szCs w:val="32"/>
        </w:rPr>
        <w:t>指事业单位开展专业业务活动及其辅助活动所取得的收入。</w:t>
      </w:r>
    </w:p>
    <w:p>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560" w:lineRule="exact"/>
        <w:ind w:firstLine="643" w:firstLineChars="200"/>
        <w:jc w:val="left"/>
        <w:textAlignment w:val="auto"/>
        <w:rPr>
          <w:rFonts w:ascii="仿宋_GB2312" w:eastAsia="仿宋_GB2312"/>
          <w:color w:val="auto"/>
          <w:sz w:val="32"/>
          <w:szCs w:val="32"/>
        </w:rPr>
      </w:pPr>
      <w:r>
        <w:rPr>
          <w:rFonts w:ascii="仿宋_GB2312" w:eastAsia="仿宋_GB2312"/>
          <w:b/>
          <w:color w:val="auto"/>
          <w:sz w:val="32"/>
          <w:szCs w:val="32"/>
        </w:rPr>
        <w:t>四、经营收入：</w:t>
      </w:r>
      <w:r>
        <w:rPr>
          <w:rFonts w:ascii="仿宋_GB2312" w:eastAsia="仿宋_GB2312"/>
          <w:b w:val="0"/>
          <w:color w:val="auto"/>
          <w:sz w:val="32"/>
          <w:szCs w:val="32"/>
        </w:rPr>
        <w:t>指事业单位在专业业务活动及其辅助活动之外开展非独立核算经营活动取得的收入。</w:t>
      </w:r>
    </w:p>
    <w:p>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560" w:lineRule="exact"/>
        <w:ind w:firstLine="643" w:firstLineChars="200"/>
        <w:jc w:val="left"/>
        <w:textAlignment w:val="auto"/>
        <w:rPr>
          <w:rFonts w:ascii="仿宋_GB2312" w:eastAsia="仿宋_GB2312"/>
          <w:color w:val="auto"/>
          <w:sz w:val="32"/>
          <w:szCs w:val="32"/>
        </w:rPr>
      </w:pPr>
      <w:r>
        <w:rPr>
          <w:rFonts w:ascii="仿宋_GB2312" w:eastAsia="仿宋_GB2312"/>
          <w:b/>
          <w:color w:val="auto"/>
          <w:sz w:val="32"/>
          <w:szCs w:val="32"/>
        </w:rPr>
        <w:t>五、附属单位上缴收入：</w:t>
      </w:r>
      <w:r>
        <w:rPr>
          <w:rFonts w:ascii="仿宋_GB2312" w:eastAsia="仿宋_GB2312"/>
          <w:b w:val="0"/>
          <w:color w:val="auto"/>
          <w:sz w:val="32"/>
          <w:szCs w:val="32"/>
        </w:rPr>
        <w:t>指事业单位附属的独立核算单位按有关规定上缴的收入。</w:t>
      </w:r>
    </w:p>
    <w:p>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560" w:lineRule="exact"/>
        <w:ind w:firstLine="643" w:firstLineChars="200"/>
        <w:jc w:val="left"/>
        <w:textAlignment w:val="auto"/>
        <w:rPr>
          <w:rFonts w:ascii="仿宋_GB2312" w:eastAsia="仿宋_GB2312"/>
          <w:color w:val="auto"/>
          <w:sz w:val="32"/>
          <w:szCs w:val="32"/>
        </w:rPr>
      </w:pPr>
      <w:r>
        <w:rPr>
          <w:rFonts w:ascii="仿宋_GB2312" w:eastAsia="仿宋_GB2312"/>
          <w:b/>
          <w:color w:val="auto"/>
          <w:sz w:val="32"/>
          <w:szCs w:val="32"/>
        </w:rPr>
        <w:t>六、其他收入：</w:t>
      </w:r>
      <w:r>
        <w:rPr>
          <w:rFonts w:ascii="仿宋_GB2312" w:eastAsia="仿宋_GB2312"/>
          <w:b w:val="0"/>
          <w:color w:val="auto"/>
          <w:sz w:val="32"/>
          <w:szCs w:val="32"/>
        </w:rPr>
        <w:t>指除上述</w:t>
      </w:r>
      <w:r>
        <w:rPr>
          <w:rFonts w:hint="eastAsia" w:ascii="仿宋_GB2312" w:eastAsia="仿宋_GB2312"/>
          <w:b w:val="0"/>
          <w:color w:val="auto"/>
          <w:sz w:val="32"/>
          <w:szCs w:val="32"/>
          <w:lang w:eastAsia="zh-CN"/>
        </w:rPr>
        <w:t>“</w:t>
      </w:r>
      <w:r>
        <w:rPr>
          <w:rFonts w:ascii="仿宋_GB2312" w:eastAsia="仿宋_GB2312"/>
          <w:b w:val="0"/>
          <w:color w:val="auto"/>
          <w:sz w:val="32"/>
          <w:szCs w:val="32"/>
        </w:rPr>
        <w:t>财政拨款收入</w:t>
      </w:r>
      <w:r>
        <w:rPr>
          <w:rFonts w:hint="eastAsia" w:ascii="仿宋_GB2312" w:eastAsia="仿宋_GB2312"/>
          <w:b w:val="0"/>
          <w:color w:val="auto"/>
          <w:sz w:val="32"/>
          <w:szCs w:val="32"/>
          <w:lang w:eastAsia="zh-CN"/>
        </w:rPr>
        <w:t>”</w:t>
      </w:r>
      <w:r>
        <w:rPr>
          <w:rFonts w:ascii="仿宋_GB2312" w:eastAsia="仿宋_GB2312"/>
          <w:b w:val="0"/>
          <w:color w:val="auto"/>
          <w:sz w:val="32"/>
          <w:szCs w:val="32"/>
        </w:rPr>
        <w:t>、</w:t>
      </w:r>
      <w:r>
        <w:rPr>
          <w:rFonts w:hint="eastAsia" w:ascii="仿宋_GB2312" w:eastAsia="仿宋_GB2312"/>
          <w:b w:val="0"/>
          <w:color w:val="auto"/>
          <w:sz w:val="32"/>
          <w:szCs w:val="32"/>
          <w:lang w:eastAsia="zh-CN"/>
        </w:rPr>
        <w:t>“</w:t>
      </w:r>
      <w:r>
        <w:rPr>
          <w:rFonts w:ascii="仿宋_GB2312" w:eastAsia="仿宋_GB2312"/>
          <w:b w:val="0"/>
          <w:color w:val="auto"/>
          <w:sz w:val="32"/>
          <w:szCs w:val="32"/>
        </w:rPr>
        <w:t>事业收入</w:t>
      </w:r>
      <w:r>
        <w:rPr>
          <w:rFonts w:hint="eastAsia" w:ascii="仿宋_GB2312" w:eastAsia="仿宋_GB2312"/>
          <w:b w:val="0"/>
          <w:color w:val="auto"/>
          <w:sz w:val="32"/>
          <w:szCs w:val="32"/>
          <w:lang w:eastAsia="zh-CN"/>
        </w:rPr>
        <w:t>”</w:t>
      </w:r>
      <w:r>
        <w:rPr>
          <w:rFonts w:ascii="仿宋_GB2312" w:eastAsia="仿宋_GB2312"/>
          <w:b w:val="0"/>
          <w:color w:val="auto"/>
          <w:sz w:val="32"/>
          <w:szCs w:val="32"/>
        </w:rPr>
        <w:t>、</w:t>
      </w:r>
      <w:r>
        <w:rPr>
          <w:rFonts w:hint="eastAsia" w:ascii="仿宋_GB2312" w:eastAsia="仿宋_GB2312"/>
          <w:b w:val="0"/>
          <w:color w:val="auto"/>
          <w:sz w:val="32"/>
          <w:szCs w:val="32"/>
          <w:lang w:eastAsia="zh-CN"/>
        </w:rPr>
        <w:t>“</w:t>
      </w:r>
      <w:r>
        <w:rPr>
          <w:rFonts w:ascii="仿宋_GB2312" w:eastAsia="仿宋_GB2312"/>
          <w:b w:val="0"/>
          <w:color w:val="auto"/>
          <w:sz w:val="32"/>
          <w:szCs w:val="32"/>
        </w:rPr>
        <w:t>经营收入</w:t>
      </w:r>
      <w:r>
        <w:rPr>
          <w:rFonts w:hint="eastAsia" w:ascii="仿宋_GB2312" w:eastAsia="仿宋_GB2312"/>
          <w:b w:val="0"/>
          <w:color w:val="auto"/>
          <w:sz w:val="32"/>
          <w:szCs w:val="32"/>
          <w:lang w:eastAsia="zh-CN"/>
        </w:rPr>
        <w:t>”</w:t>
      </w:r>
      <w:r>
        <w:rPr>
          <w:rFonts w:ascii="仿宋_GB2312" w:eastAsia="仿宋_GB2312"/>
          <w:b w:val="0"/>
          <w:color w:val="auto"/>
          <w:sz w:val="32"/>
          <w:szCs w:val="32"/>
        </w:rPr>
        <w:t>、</w:t>
      </w:r>
      <w:r>
        <w:rPr>
          <w:rFonts w:hint="eastAsia" w:ascii="仿宋_GB2312" w:eastAsia="仿宋_GB2312"/>
          <w:b w:val="0"/>
          <w:color w:val="auto"/>
          <w:sz w:val="32"/>
          <w:szCs w:val="32"/>
          <w:lang w:eastAsia="zh-CN"/>
        </w:rPr>
        <w:t>“</w:t>
      </w:r>
      <w:r>
        <w:rPr>
          <w:rFonts w:ascii="仿宋_GB2312" w:eastAsia="仿宋_GB2312"/>
          <w:b w:val="0"/>
          <w:color w:val="auto"/>
          <w:sz w:val="32"/>
          <w:szCs w:val="32"/>
        </w:rPr>
        <w:t>附属单位上缴收入</w:t>
      </w:r>
      <w:r>
        <w:rPr>
          <w:rFonts w:hint="eastAsia" w:ascii="仿宋_GB2312" w:eastAsia="仿宋_GB2312"/>
          <w:b w:val="0"/>
          <w:color w:val="auto"/>
          <w:sz w:val="32"/>
          <w:szCs w:val="32"/>
          <w:lang w:eastAsia="zh-CN"/>
        </w:rPr>
        <w:t>”</w:t>
      </w:r>
      <w:r>
        <w:rPr>
          <w:rFonts w:ascii="仿宋_GB2312" w:eastAsia="仿宋_GB2312"/>
          <w:b w:val="0"/>
          <w:color w:val="auto"/>
          <w:sz w:val="32"/>
          <w:szCs w:val="32"/>
        </w:rPr>
        <w:t>等之外取得的收入。</w:t>
      </w:r>
    </w:p>
    <w:p>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560" w:lineRule="exact"/>
        <w:ind w:firstLine="643" w:firstLineChars="200"/>
        <w:jc w:val="left"/>
        <w:textAlignment w:val="auto"/>
        <w:rPr>
          <w:rFonts w:ascii="仿宋_GB2312" w:eastAsia="仿宋_GB2312"/>
          <w:color w:val="auto"/>
          <w:sz w:val="32"/>
          <w:szCs w:val="32"/>
        </w:rPr>
      </w:pPr>
      <w:r>
        <w:rPr>
          <w:rFonts w:ascii="仿宋_GB2312" w:eastAsia="仿宋_GB2312"/>
          <w:b/>
          <w:color w:val="auto"/>
          <w:sz w:val="32"/>
          <w:szCs w:val="32"/>
        </w:rPr>
        <w:t>七、年初结转和结余：</w:t>
      </w:r>
      <w:r>
        <w:rPr>
          <w:rFonts w:ascii="仿宋_GB2312" w:eastAsia="仿宋_GB2312"/>
          <w:b w:val="0"/>
          <w:color w:val="auto"/>
          <w:sz w:val="32"/>
          <w:szCs w:val="32"/>
        </w:rPr>
        <w:t>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560" w:lineRule="exact"/>
        <w:ind w:firstLine="643" w:firstLineChars="200"/>
        <w:jc w:val="left"/>
        <w:textAlignment w:val="auto"/>
        <w:rPr>
          <w:rFonts w:ascii="仿宋_GB2312" w:eastAsia="仿宋_GB2312"/>
          <w:color w:val="auto"/>
          <w:sz w:val="32"/>
          <w:szCs w:val="32"/>
        </w:rPr>
      </w:pPr>
      <w:r>
        <w:rPr>
          <w:rFonts w:ascii="仿宋_GB2312" w:eastAsia="仿宋_GB2312"/>
          <w:b/>
          <w:color w:val="auto"/>
          <w:sz w:val="32"/>
          <w:szCs w:val="32"/>
        </w:rPr>
        <w:t>八、年末结转和结余：</w:t>
      </w:r>
      <w:r>
        <w:rPr>
          <w:rFonts w:ascii="仿宋_GB2312" w:eastAsia="仿宋_GB2312"/>
          <w:b w:val="0"/>
          <w:color w:val="auto"/>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560" w:lineRule="exact"/>
        <w:ind w:firstLine="643" w:firstLineChars="200"/>
        <w:jc w:val="left"/>
        <w:textAlignment w:val="auto"/>
        <w:rPr>
          <w:rFonts w:ascii="仿宋_GB2312" w:eastAsia="仿宋_GB2312"/>
          <w:color w:val="auto"/>
          <w:sz w:val="32"/>
          <w:szCs w:val="32"/>
        </w:rPr>
      </w:pPr>
      <w:r>
        <w:rPr>
          <w:rFonts w:ascii="仿宋_GB2312" w:eastAsia="仿宋_GB2312"/>
          <w:b/>
          <w:color w:val="auto"/>
          <w:sz w:val="32"/>
          <w:szCs w:val="32"/>
        </w:rPr>
        <w:t>九、基本支出：</w:t>
      </w:r>
      <w:r>
        <w:rPr>
          <w:rFonts w:ascii="仿宋_GB2312" w:eastAsia="仿宋_GB2312"/>
          <w:b w:val="0"/>
          <w:color w:val="auto"/>
          <w:sz w:val="32"/>
          <w:szCs w:val="32"/>
        </w:rPr>
        <w:t>指为保障机构正常运转、完成日常工作任务而发生的人员支出和公用支出。</w:t>
      </w:r>
    </w:p>
    <w:p>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560" w:lineRule="exact"/>
        <w:ind w:firstLine="643" w:firstLineChars="200"/>
        <w:jc w:val="left"/>
        <w:textAlignment w:val="auto"/>
        <w:rPr>
          <w:rFonts w:ascii="仿宋_GB2312" w:eastAsia="仿宋_GB2312"/>
          <w:color w:val="auto"/>
          <w:sz w:val="32"/>
          <w:szCs w:val="32"/>
        </w:rPr>
      </w:pPr>
      <w:r>
        <w:rPr>
          <w:rFonts w:ascii="仿宋_GB2312" w:eastAsia="仿宋_GB2312"/>
          <w:b/>
          <w:color w:val="auto"/>
          <w:sz w:val="32"/>
          <w:szCs w:val="32"/>
        </w:rPr>
        <w:t>十、项目支出：</w:t>
      </w:r>
      <w:r>
        <w:rPr>
          <w:rFonts w:ascii="仿宋_GB2312" w:eastAsia="仿宋_GB2312"/>
          <w:b w:val="0"/>
          <w:color w:val="auto"/>
          <w:sz w:val="32"/>
          <w:szCs w:val="32"/>
        </w:rPr>
        <w:t>指在基本支出之外为完成特定行政任务和事业发展目标所发生的支出。</w:t>
      </w:r>
    </w:p>
    <w:p>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560" w:lineRule="exact"/>
        <w:ind w:firstLine="643" w:firstLineChars="200"/>
        <w:jc w:val="left"/>
        <w:textAlignment w:val="auto"/>
        <w:rPr>
          <w:rFonts w:ascii="仿宋_GB2312" w:eastAsia="仿宋_GB2312"/>
          <w:color w:val="auto"/>
          <w:sz w:val="32"/>
          <w:szCs w:val="32"/>
        </w:rPr>
      </w:pPr>
      <w:r>
        <w:rPr>
          <w:rFonts w:ascii="仿宋_GB2312" w:eastAsia="仿宋_GB2312"/>
          <w:b/>
          <w:color w:val="auto"/>
          <w:sz w:val="32"/>
          <w:szCs w:val="32"/>
        </w:rPr>
        <w:t>十一、经营支出：</w:t>
      </w:r>
      <w:r>
        <w:rPr>
          <w:rFonts w:ascii="仿宋_GB2312" w:eastAsia="仿宋_GB2312"/>
          <w:b w:val="0"/>
          <w:color w:val="auto"/>
          <w:sz w:val="32"/>
          <w:szCs w:val="32"/>
        </w:rPr>
        <w:t>指事业单位在专业业务活动及其辅助活动之外开展非独立核算经营活动发生的支出。</w:t>
      </w:r>
    </w:p>
    <w:p>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560" w:lineRule="exact"/>
        <w:ind w:firstLine="643" w:firstLineChars="200"/>
        <w:jc w:val="left"/>
        <w:textAlignment w:val="auto"/>
        <w:rPr>
          <w:rFonts w:ascii="仿宋_GB2312" w:eastAsia="仿宋_GB2312"/>
          <w:color w:val="auto"/>
          <w:sz w:val="32"/>
          <w:szCs w:val="32"/>
        </w:rPr>
      </w:pPr>
      <w:r>
        <w:rPr>
          <w:rFonts w:ascii="仿宋_GB2312" w:eastAsia="仿宋_GB2312"/>
          <w:b/>
          <w:color w:val="auto"/>
          <w:sz w:val="32"/>
          <w:szCs w:val="32"/>
        </w:rPr>
        <w:t>十二、对附属单位补助支出：</w:t>
      </w:r>
      <w:r>
        <w:rPr>
          <w:rFonts w:ascii="仿宋_GB2312" w:eastAsia="仿宋_GB2312"/>
          <w:b w:val="0"/>
          <w:color w:val="auto"/>
          <w:sz w:val="32"/>
          <w:szCs w:val="32"/>
        </w:rPr>
        <w:t>指事业单位发生的用非财政预算资金对附属单位的补助支出。</w:t>
      </w:r>
    </w:p>
    <w:p>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560" w:lineRule="exact"/>
        <w:ind w:firstLine="643" w:firstLineChars="200"/>
        <w:jc w:val="left"/>
        <w:textAlignment w:val="auto"/>
        <w:rPr>
          <w:rFonts w:ascii="仿宋_GB2312" w:eastAsia="仿宋_GB2312"/>
          <w:color w:val="auto"/>
          <w:sz w:val="32"/>
          <w:szCs w:val="32"/>
        </w:rPr>
      </w:pPr>
      <w:r>
        <w:rPr>
          <w:rFonts w:ascii="仿宋_GB2312" w:eastAsia="仿宋_GB2312"/>
          <w:b/>
          <w:color w:val="auto"/>
          <w:sz w:val="32"/>
          <w:szCs w:val="32"/>
        </w:rPr>
        <w:t>十三、</w:t>
      </w:r>
      <w:r>
        <w:rPr>
          <w:rFonts w:hint="eastAsia" w:ascii="仿宋_GB2312" w:eastAsia="仿宋_GB2312"/>
          <w:b/>
          <w:color w:val="auto"/>
          <w:sz w:val="32"/>
          <w:szCs w:val="32"/>
          <w:lang w:eastAsia="zh-CN"/>
        </w:rPr>
        <w:t>“</w:t>
      </w:r>
      <w:r>
        <w:rPr>
          <w:rFonts w:ascii="仿宋_GB2312" w:eastAsia="仿宋_GB2312"/>
          <w:b/>
          <w:color w:val="auto"/>
          <w:sz w:val="32"/>
          <w:szCs w:val="32"/>
        </w:rPr>
        <w:t>三公</w:t>
      </w:r>
      <w:r>
        <w:rPr>
          <w:rFonts w:hint="eastAsia" w:ascii="仿宋_GB2312" w:eastAsia="仿宋_GB2312"/>
          <w:b/>
          <w:color w:val="auto"/>
          <w:sz w:val="32"/>
          <w:szCs w:val="32"/>
          <w:lang w:eastAsia="zh-CN"/>
        </w:rPr>
        <w:t>”</w:t>
      </w:r>
      <w:r>
        <w:rPr>
          <w:rFonts w:ascii="仿宋_GB2312" w:eastAsia="仿宋_GB2312"/>
          <w:b/>
          <w:color w:val="auto"/>
          <w:sz w:val="32"/>
          <w:szCs w:val="32"/>
        </w:rPr>
        <w:t>经费：</w:t>
      </w:r>
      <w:r>
        <w:rPr>
          <w:rFonts w:ascii="仿宋_GB2312" w:eastAsia="仿宋_GB2312"/>
          <w:b w:val="0"/>
          <w:color w:val="auto"/>
          <w:sz w:val="32"/>
          <w:szCs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560" w:lineRule="exact"/>
        <w:ind w:firstLine="643" w:firstLineChars="200"/>
        <w:jc w:val="left"/>
        <w:textAlignment w:val="auto"/>
        <w:rPr>
          <w:rFonts w:ascii="仿宋_GB2312" w:eastAsia="仿宋_GB2312"/>
          <w:color w:val="auto"/>
          <w:sz w:val="32"/>
          <w:szCs w:val="32"/>
        </w:rPr>
      </w:pPr>
      <w:r>
        <w:rPr>
          <w:rFonts w:ascii="仿宋_GB2312" w:eastAsia="仿宋_GB2312"/>
          <w:b/>
          <w:color w:val="auto"/>
          <w:sz w:val="32"/>
          <w:szCs w:val="32"/>
        </w:rPr>
        <w:t>十四、机关运行经费：</w:t>
      </w:r>
      <w:r>
        <w:rPr>
          <w:rFonts w:ascii="仿宋_GB2312" w:eastAsia="仿宋_GB2312"/>
          <w:b w:val="0"/>
          <w:color w:val="auto"/>
          <w:sz w:val="32"/>
          <w:szCs w:val="32"/>
        </w:rPr>
        <w:t>行政单位和参照公务员法管理的事业单位财政拨款基本支出中的公用经费支出。</w:t>
      </w:r>
    </w:p>
    <w:p>
      <w:pPr>
        <w:keepNext w:val="0"/>
        <w:keepLines w:val="0"/>
        <w:pageBreakBefore w:val="0"/>
        <w:widowControl/>
        <w:kinsoku/>
        <w:wordWrap/>
        <w:overflowPunct/>
        <w:topLinePunct w:val="0"/>
        <w:autoSpaceDE/>
        <w:autoSpaceDN/>
        <w:bidi w:val="0"/>
        <w:adjustRightInd/>
        <w:snapToGrid w:val="0"/>
        <w:spacing w:line="560" w:lineRule="exact"/>
        <w:textAlignment w:val="auto"/>
        <w:rPr>
          <w:color w:val="auto"/>
        </w:rPr>
      </w:pPr>
      <w:r>
        <w:rPr>
          <w:b w:val="0"/>
          <w:color w:val="auto"/>
          <w:sz w:val="0"/>
          <w:szCs w:val="0"/>
        </w:rPr>
        <w:br w:type="page"/>
      </w:r>
    </w:p>
    <w:p>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560" w:lineRule="exact"/>
        <w:jc w:val="center"/>
        <w:textAlignment w:val="auto"/>
        <w:outlineLvl w:val="0"/>
        <w:rPr>
          <w:rFonts w:ascii="黑体" w:eastAsia="黑体"/>
          <w:color w:val="auto"/>
          <w:sz w:val="32"/>
          <w:szCs w:val="32"/>
        </w:rPr>
      </w:pPr>
      <w:r>
        <w:rPr>
          <w:rFonts w:ascii="黑体" w:eastAsia="黑体"/>
          <w:b w:val="0"/>
          <w:color w:val="auto"/>
          <w:sz w:val="32"/>
          <w:szCs w:val="32"/>
        </w:rPr>
        <w:t>第四部分部门决算报表（见附表）</w:t>
      </w:r>
    </w:p>
    <w:p>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560" w:lineRule="exact"/>
        <w:ind w:firstLine="640" w:firstLineChars="200"/>
        <w:jc w:val="left"/>
        <w:textAlignment w:val="auto"/>
        <w:outlineLvl w:val="1"/>
        <w:rPr>
          <w:rFonts w:ascii="仿宋_GB2312" w:eastAsia="仿宋_GB2312"/>
          <w:color w:val="auto"/>
          <w:sz w:val="32"/>
          <w:szCs w:val="32"/>
        </w:rPr>
      </w:pPr>
      <w:r>
        <w:rPr>
          <w:rFonts w:ascii="仿宋_GB2312" w:eastAsia="仿宋_GB2312"/>
          <w:b w:val="0"/>
          <w:color w:val="auto"/>
          <w:sz w:val="32"/>
          <w:szCs w:val="32"/>
        </w:rPr>
        <w:t>一、《收入支出决算总表》</w:t>
      </w:r>
    </w:p>
    <w:p>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560" w:lineRule="exact"/>
        <w:ind w:firstLine="640" w:firstLineChars="200"/>
        <w:jc w:val="left"/>
        <w:textAlignment w:val="auto"/>
        <w:outlineLvl w:val="1"/>
        <w:rPr>
          <w:rFonts w:ascii="仿宋_GB2312" w:eastAsia="仿宋_GB2312"/>
          <w:color w:val="auto"/>
          <w:sz w:val="32"/>
          <w:szCs w:val="32"/>
        </w:rPr>
      </w:pPr>
      <w:r>
        <w:rPr>
          <w:rFonts w:ascii="仿宋_GB2312" w:eastAsia="仿宋_GB2312"/>
          <w:b w:val="0"/>
          <w:color w:val="auto"/>
          <w:sz w:val="32"/>
          <w:szCs w:val="32"/>
        </w:rPr>
        <w:t>二、《收入决算表》</w:t>
      </w:r>
    </w:p>
    <w:p>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560" w:lineRule="exact"/>
        <w:ind w:firstLine="640" w:firstLineChars="200"/>
        <w:jc w:val="left"/>
        <w:textAlignment w:val="auto"/>
        <w:outlineLvl w:val="1"/>
        <w:rPr>
          <w:rFonts w:ascii="仿宋_GB2312" w:eastAsia="仿宋_GB2312"/>
          <w:color w:val="auto"/>
          <w:sz w:val="32"/>
          <w:szCs w:val="32"/>
        </w:rPr>
      </w:pPr>
      <w:r>
        <w:rPr>
          <w:rFonts w:ascii="仿宋_GB2312" w:eastAsia="仿宋_GB2312"/>
          <w:b w:val="0"/>
          <w:color w:val="auto"/>
          <w:sz w:val="32"/>
          <w:szCs w:val="32"/>
        </w:rPr>
        <w:t>三、《支出决算表》</w:t>
      </w:r>
    </w:p>
    <w:p>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560" w:lineRule="exact"/>
        <w:ind w:firstLine="640" w:firstLineChars="200"/>
        <w:jc w:val="left"/>
        <w:textAlignment w:val="auto"/>
        <w:outlineLvl w:val="1"/>
        <w:rPr>
          <w:rFonts w:ascii="仿宋_GB2312" w:eastAsia="仿宋_GB2312"/>
          <w:color w:val="auto"/>
          <w:sz w:val="32"/>
          <w:szCs w:val="32"/>
        </w:rPr>
      </w:pPr>
      <w:r>
        <w:rPr>
          <w:rFonts w:ascii="仿宋_GB2312" w:eastAsia="仿宋_GB2312"/>
          <w:b w:val="0"/>
          <w:color w:val="auto"/>
          <w:sz w:val="32"/>
          <w:szCs w:val="32"/>
        </w:rPr>
        <w:t>四、《财政拨款收入支出决算总表》</w:t>
      </w:r>
    </w:p>
    <w:p>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560" w:lineRule="exact"/>
        <w:ind w:firstLine="640" w:firstLineChars="200"/>
        <w:jc w:val="left"/>
        <w:textAlignment w:val="auto"/>
        <w:outlineLvl w:val="1"/>
        <w:rPr>
          <w:rFonts w:ascii="仿宋_GB2312" w:eastAsia="仿宋_GB2312"/>
          <w:color w:val="auto"/>
          <w:sz w:val="32"/>
          <w:szCs w:val="32"/>
        </w:rPr>
      </w:pPr>
      <w:r>
        <w:rPr>
          <w:rFonts w:ascii="仿宋_GB2312" w:eastAsia="仿宋_GB2312"/>
          <w:b w:val="0"/>
          <w:color w:val="auto"/>
          <w:sz w:val="32"/>
          <w:szCs w:val="32"/>
        </w:rPr>
        <w:t>五、《一般公共预算财政拨款支出决算表》</w:t>
      </w:r>
    </w:p>
    <w:p>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560" w:lineRule="exact"/>
        <w:ind w:firstLine="640" w:firstLineChars="200"/>
        <w:jc w:val="left"/>
        <w:textAlignment w:val="auto"/>
        <w:outlineLvl w:val="1"/>
        <w:rPr>
          <w:rFonts w:ascii="仿宋_GB2312" w:eastAsia="仿宋_GB2312"/>
          <w:color w:val="auto"/>
          <w:sz w:val="32"/>
          <w:szCs w:val="32"/>
        </w:rPr>
      </w:pPr>
      <w:r>
        <w:rPr>
          <w:rFonts w:ascii="仿宋_GB2312" w:eastAsia="仿宋_GB2312"/>
          <w:b w:val="0"/>
          <w:color w:val="auto"/>
          <w:sz w:val="32"/>
          <w:szCs w:val="32"/>
        </w:rPr>
        <w:t>六、《一般公共预算财政拨款基本支出决算表》</w:t>
      </w:r>
    </w:p>
    <w:p>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560" w:lineRule="exact"/>
        <w:ind w:firstLine="640" w:firstLineChars="200"/>
        <w:jc w:val="left"/>
        <w:textAlignment w:val="auto"/>
        <w:outlineLvl w:val="1"/>
        <w:rPr>
          <w:rFonts w:ascii="仿宋_GB2312" w:eastAsia="仿宋_GB2312"/>
          <w:color w:val="auto"/>
          <w:sz w:val="32"/>
          <w:szCs w:val="32"/>
        </w:rPr>
      </w:pPr>
      <w:r>
        <w:rPr>
          <w:rFonts w:ascii="仿宋_GB2312" w:eastAsia="仿宋_GB2312"/>
          <w:b w:val="0"/>
          <w:color w:val="auto"/>
          <w:sz w:val="32"/>
          <w:szCs w:val="32"/>
        </w:rPr>
        <w:t>七、《政府性基金预算财政拨款收入支出决算表》</w:t>
      </w:r>
    </w:p>
    <w:p>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560" w:lineRule="exact"/>
        <w:ind w:firstLine="640" w:firstLineChars="200"/>
        <w:jc w:val="left"/>
        <w:textAlignment w:val="auto"/>
        <w:outlineLvl w:val="1"/>
        <w:rPr>
          <w:rFonts w:ascii="仿宋_GB2312" w:eastAsia="仿宋_GB2312"/>
          <w:color w:val="auto"/>
          <w:sz w:val="32"/>
          <w:szCs w:val="32"/>
        </w:rPr>
      </w:pPr>
      <w:r>
        <w:rPr>
          <w:rFonts w:ascii="仿宋_GB2312" w:eastAsia="仿宋_GB2312"/>
          <w:b w:val="0"/>
          <w:color w:val="auto"/>
          <w:sz w:val="32"/>
          <w:szCs w:val="32"/>
        </w:rPr>
        <w:t>八、《国有资本经营预算财政拨款收入支出决算表》</w:t>
      </w:r>
    </w:p>
    <w:p>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560" w:lineRule="exact"/>
        <w:ind w:firstLine="640" w:firstLineChars="200"/>
        <w:jc w:val="left"/>
        <w:textAlignment w:val="auto"/>
        <w:outlineLvl w:val="1"/>
        <w:rPr>
          <w:rFonts w:ascii="仿宋_GB2312" w:eastAsia="仿宋_GB2312"/>
          <w:color w:val="auto"/>
          <w:sz w:val="32"/>
          <w:szCs w:val="32"/>
        </w:rPr>
      </w:pPr>
      <w:r>
        <w:rPr>
          <w:rFonts w:ascii="仿宋_GB2312" w:eastAsia="仿宋_GB2312"/>
          <w:b w:val="0"/>
          <w:color w:val="auto"/>
          <w:sz w:val="32"/>
          <w:szCs w:val="32"/>
        </w:rPr>
        <w:t>九、《财政拨款</w:t>
      </w:r>
      <w:r>
        <w:rPr>
          <w:rFonts w:hint="eastAsia" w:ascii="仿宋_GB2312" w:eastAsia="仿宋_GB2312"/>
          <w:b w:val="0"/>
          <w:color w:val="auto"/>
          <w:sz w:val="32"/>
          <w:szCs w:val="32"/>
          <w:lang w:eastAsia="zh-CN"/>
        </w:rPr>
        <w:t>“</w:t>
      </w:r>
      <w:r>
        <w:rPr>
          <w:rFonts w:ascii="仿宋_GB2312" w:eastAsia="仿宋_GB2312"/>
          <w:b w:val="0"/>
          <w:color w:val="auto"/>
          <w:sz w:val="32"/>
          <w:szCs w:val="32"/>
        </w:rPr>
        <w:t>三公</w:t>
      </w:r>
      <w:bookmarkStart w:id="0" w:name="_GoBack"/>
      <w:bookmarkEnd w:id="0"/>
      <w:r>
        <w:rPr>
          <w:rFonts w:hint="eastAsia" w:ascii="仿宋_GB2312" w:eastAsia="仿宋_GB2312"/>
          <w:b w:val="0"/>
          <w:color w:val="auto"/>
          <w:sz w:val="32"/>
          <w:szCs w:val="32"/>
          <w:lang w:eastAsia="zh-CN"/>
        </w:rPr>
        <w:t>”</w:t>
      </w:r>
      <w:r>
        <w:rPr>
          <w:rFonts w:ascii="仿宋_GB2312" w:eastAsia="仿宋_GB2312"/>
          <w:b w:val="0"/>
          <w:color w:val="auto"/>
          <w:sz w:val="32"/>
          <w:szCs w:val="32"/>
        </w:rPr>
        <w:t>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auto"/>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decimal"/>
      <w:suff w:val="nothing"/>
      <w:lvlText w:val="%1."/>
      <w:lvlJc w:val="left"/>
      <w:pPr>
        <w:spacing w:before="0" w:beforeLines="0" w:beforeAutospacing="0" w:line="240" w:lineRule="auto"/>
        <w:ind w:firstLine="640" w:firstLineChars="200"/>
      </w:pPr>
    </w:lvl>
    <w:lvl w:ilvl="1" w:tentative="0">
      <w:start w:val="1"/>
      <w:numFmt w:val="decimal"/>
      <w:suff w:val="nothing"/>
      <w:lvlText w:val="%1.%2."/>
      <w:lvlJc w:val="left"/>
      <w:pPr>
        <w:spacing w:before="0" w:beforeLines="0" w:beforeAutospacing="0" w:line="240" w:lineRule="auto"/>
        <w:ind w:firstLine="640" w:firstLineChars="200"/>
      </w:pPr>
    </w:lvl>
    <w:lvl w:ilvl="2" w:tentative="0">
      <w:start w:val="1"/>
      <w:numFmt w:val="decimal"/>
      <w:suff w:val="nothing"/>
      <w:lvlText w:val="%1.%2.%3."/>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isplayHorizontalDrawingGridEvery w:val="1"/>
  <w:displayVerticalDrawingGridEvery w:val="1"/>
  <w:noPunctuationKerning w:val="1"/>
  <w:footnotePr>
    <w:footnote w:id="0"/>
    <w:footnote w:id="1"/>
  </w:footnotePr>
  <w:endnotePr>
    <w:endnote w:id="0"/>
    <w:endnote w:id="1"/>
  </w:endnotePr>
  <w:compat>
    <w:doNotExpandShiftReturn/>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dlNGY2N2IyZjA4MjA5ZDNkNTQzMDJmZWMwMWU5MTkifQ=="/>
  </w:docVars>
  <w:rsids>
    <w:rsidRoot w:val="00000000"/>
    <w:rsid w:val="154600EC"/>
    <w:rsid w:val="162D50A1"/>
    <w:rsid w:val="19D72D72"/>
    <w:rsid w:val="1D4806BC"/>
    <w:rsid w:val="209D6E6F"/>
    <w:rsid w:val="22F8790D"/>
    <w:rsid w:val="2D875A4B"/>
    <w:rsid w:val="32E33B0E"/>
    <w:rsid w:val="331E538B"/>
    <w:rsid w:val="3AB81576"/>
    <w:rsid w:val="40DE496C"/>
    <w:rsid w:val="47431CC0"/>
    <w:rsid w:val="53844EC5"/>
    <w:rsid w:val="591D4E77"/>
    <w:rsid w:val="5C1C68C8"/>
    <w:rsid w:val="5EEA3F5C"/>
    <w:rsid w:val="67601566"/>
    <w:rsid w:val="71390C89"/>
    <w:rsid w:val="759058D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qFormat="1" w:uiPriority="99" w:name="annotation text"/>
    <w:lsdException w:qFormat="1"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4">
    <w:name w:val="heading 1"/>
    <w:basedOn w:val="1"/>
    <w:next w:val="1"/>
    <w:link w:val="19"/>
    <w:qFormat/>
    <w:uiPriority w:val="9"/>
    <w:pPr>
      <w:keepNext/>
      <w:keepLines/>
      <w:spacing w:before="480"/>
      <w:outlineLvl w:val="0"/>
    </w:pPr>
    <w:rPr>
      <w:rFonts w:asciiTheme="majorHAnsi" w:hAnsiTheme="majorHAnsi" w:eastAsiaTheme="majorEastAsia" w:cstheme="majorBidi"/>
      <w:b/>
      <w:bCs/>
      <w:color w:val="376092" w:themeColor="accent1" w:themeShade="BF"/>
      <w:sz w:val="28"/>
      <w:szCs w:val="28"/>
    </w:rPr>
  </w:style>
  <w:style w:type="paragraph" w:styleId="5">
    <w:name w:val="heading 2"/>
    <w:basedOn w:val="1"/>
    <w:next w:val="1"/>
    <w:link w:val="20"/>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14:textFill>
        <w14:solidFill>
          <w14:schemeClr w14:val="accent1"/>
        </w14:solidFill>
      </w14:textFill>
    </w:rPr>
  </w:style>
  <w:style w:type="paragraph" w:styleId="6">
    <w:name w:val="heading 3"/>
    <w:basedOn w:val="1"/>
    <w:next w:val="1"/>
    <w:link w:val="21"/>
    <w:unhideWhenUsed/>
    <w:qFormat/>
    <w:uiPriority w:val="9"/>
    <w:pPr>
      <w:keepNext/>
      <w:keepLines/>
      <w:spacing w:before="200"/>
      <w:outlineLvl w:val="2"/>
    </w:pPr>
    <w:rPr>
      <w:rFonts w:asciiTheme="majorHAnsi" w:hAnsiTheme="majorHAnsi" w:eastAsiaTheme="majorEastAsia" w:cstheme="majorBidi"/>
      <w:b/>
      <w:bCs/>
      <w:color w:val="4F81BD" w:themeColor="accent1"/>
      <w14:textFill>
        <w14:solidFill>
          <w14:schemeClr w14:val="accent1"/>
        </w14:solidFill>
      </w14:textFill>
    </w:rPr>
  </w:style>
  <w:style w:type="paragraph" w:styleId="7">
    <w:name w:val="heading 4"/>
    <w:basedOn w:val="1"/>
    <w:next w:val="1"/>
    <w:link w:val="22"/>
    <w:unhideWhenUsed/>
    <w:qFormat/>
    <w:uiPriority w:val="9"/>
    <w:pPr>
      <w:keepNext/>
      <w:keepLines/>
      <w:spacing w:before="200"/>
      <w:outlineLvl w:val="3"/>
    </w:pPr>
    <w:rPr>
      <w:rFonts w:asciiTheme="majorHAnsi" w:hAnsiTheme="majorHAnsi" w:eastAsiaTheme="majorEastAsia" w:cstheme="majorBidi"/>
      <w:b/>
      <w:bCs/>
      <w:i/>
      <w:iCs/>
      <w:color w:val="4F81BD" w:themeColor="accent1"/>
      <w14:textFill>
        <w14:solidFill>
          <w14:schemeClr w14:val="accent1"/>
        </w14:solidFill>
      </w14:textFill>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widowControl/>
      <w:spacing w:before="100" w:beforeAutospacing="1" w:after="100" w:afterAutospacing="1"/>
      <w:jc w:val="left"/>
    </w:pPr>
    <w:rPr>
      <w:rFonts w:ascii="宋体" w:hAnsi="宋体" w:cs="宋体"/>
      <w:kern w:val="0"/>
      <w:sz w:val="24"/>
    </w:rPr>
  </w:style>
  <w:style w:type="paragraph" w:styleId="3">
    <w:name w:val="Title"/>
    <w:basedOn w:val="1"/>
    <w:next w:val="1"/>
    <w:link w:val="24"/>
    <w:qFormat/>
    <w:uiPriority w:val="10"/>
    <w:pPr>
      <w:pBdr>
        <w:bottom w:val="single" w:color="4F81BD" w:themeColor="accent1" w:sz="8" w:space="4"/>
      </w:pBdr>
      <w:spacing w:after="300"/>
      <w:contextualSpacing/>
    </w:pPr>
    <w:rPr>
      <w:rFonts w:asciiTheme="majorHAnsi" w:hAnsiTheme="majorHAnsi" w:eastAsiaTheme="majorEastAsia" w:cstheme="majorBidi"/>
      <w:color w:val="17375E" w:themeColor="text2" w:themeShade="BF"/>
      <w:spacing w:val="5"/>
      <w:kern w:val="28"/>
      <w:sz w:val="52"/>
      <w:szCs w:val="52"/>
    </w:rPr>
  </w:style>
  <w:style w:type="paragraph" w:styleId="8">
    <w:name w:val="Normal Indent"/>
    <w:basedOn w:val="1"/>
    <w:unhideWhenUsed/>
    <w:qFormat/>
    <w:uiPriority w:val="99"/>
    <w:pPr>
      <w:ind w:left="720"/>
    </w:pPr>
  </w:style>
  <w:style w:type="paragraph" w:styleId="9">
    <w:name w:val="caption"/>
    <w:basedOn w:val="1"/>
    <w:next w:val="1"/>
    <w:semiHidden/>
    <w:unhideWhenUsed/>
    <w:qFormat/>
    <w:uiPriority w:val="35"/>
    <w:pPr>
      <w:spacing w:line="240" w:lineRule="auto"/>
    </w:pPr>
    <w:rPr>
      <w:b/>
      <w:bCs/>
      <w:color w:val="4F81BD" w:themeColor="accent1"/>
      <w:sz w:val="18"/>
      <w:szCs w:val="18"/>
      <w14:textFill>
        <w14:solidFill>
          <w14:schemeClr w14:val="accent1"/>
        </w14:solidFill>
      </w14:textFill>
    </w:rPr>
  </w:style>
  <w:style w:type="paragraph" w:styleId="10">
    <w:name w:val="annotation text"/>
    <w:basedOn w:val="1"/>
    <w:semiHidden/>
    <w:unhideWhenUsed/>
    <w:qFormat/>
    <w:uiPriority w:val="99"/>
    <w:pPr>
      <w:jc w:val="left"/>
    </w:pPr>
  </w:style>
  <w:style w:type="paragraph" w:styleId="11">
    <w:name w:val="header"/>
    <w:basedOn w:val="1"/>
    <w:link w:val="18"/>
    <w:unhideWhenUsed/>
    <w:qFormat/>
    <w:uiPriority w:val="99"/>
    <w:pPr>
      <w:tabs>
        <w:tab w:val="center" w:pos="4680"/>
        <w:tab w:val="right" w:pos="9360"/>
      </w:tabs>
    </w:pPr>
  </w:style>
  <w:style w:type="paragraph" w:styleId="12">
    <w:name w:val="Subtitle"/>
    <w:basedOn w:val="1"/>
    <w:next w:val="1"/>
    <w:link w:val="23"/>
    <w:qFormat/>
    <w:uiPriority w:val="11"/>
    <w:pPr>
      <w:ind w:left="86"/>
    </w:pPr>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table" w:styleId="14">
    <w:name w:val="Table Grid"/>
    <w:basedOn w:val="13"/>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6">
    <w:name w:val="Emphasis"/>
    <w:basedOn w:val="15"/>
    <w:qFormat/>
    <w:uiPriority w:val="20"/>
    <w:rPr>
      <w:i/>
      <w:iCs/>
    </w:rPr>
  </w:style>
  <w:style w:type="character" w:styleId="17">
    <w:name w:val="Hyperlink"/>
    <w:basedOn w:val="15"/>
    <w:unhideWhenUsed/>
    <w:qFormat/>
    <w:uiPriority w:val="99"/>
    <w:rPr>
      <w:color w:val="0000FF" w:themeColor="hyperlink"/>
      <w:u w:val="single"/>
      <w14:textFill>
        <w14:solidFill>
          <w14:schemeClr w14:val="hlink"/>
        </w14:solidFill>
      </w14:textFill>
    </w:rPr>
  </w:style>
  <w:style w:type="character" w:customStyle="1" w:styleId="18">
    <w:name w:val="Header Char"/>
    <w:basedOn w:val="15"/>
    <w:link w:val="11"/>
    <w:qFormat/>
    <w:uiPriority w:val="99"/>
  </w:style>
  <w:style w:type="character" w:customStyle="1" w:styleId="19">
    <w:name w:val="Heading 1 Char"/>
    <w:basedOn w:val="15"/>
    <w:link w:val="4"/>
    <w:qFormat/>
    <w:uiPriority w:val="9"/>
    <w:rPr>
      <w:rFonts w:asciiTheme="majorHAnsi" w:hAnsiTheme="majorHAnsi" w:eastAsiaTheme="majorEastAsia" w:cstheme="majorBidi"/>
      <w:b/>
      <w:bCs/>
      <w:color w:val="376092" w:themeColor="accent1" w:themeShade="BF"/>
      <w:sz w:val="28"/>
      <w:szCs w:val="28"/>
    </w:rPr>
  </w:style>
  <w:style w:type="character" w:customStyle="1" w:styleId="20">
    <w:name w:val="Heading 2 Char"/>
    <w:basedOn w:val="15"/>
    <w:link w:val="5"/>
    <w:qFormat/>
    <w:uiPriority w:val="9"/>
    <w:rPr>
      <w:rFonts w:asciiTheme="majorHAnsi" w:hAnsiTheme="majorHAnsi" w:eastAsiaTheme="majorEastAsia" w:cstheme="majorBidi"/>
      <w:b/>
      <w:bCs/>
      <w:color w:val="4F81BD" w:themeColor="accent1"/>
      <w:sz w:val="26"/>
      <w:szCs w:val="26"/>
      <w14:textFill>
        <w14:solidFill>
          <w14:schemeClr w14:val="accent1"/>
        </w14:solidFill>
      </w14:textFill>
    </w:rPr>
  </w:style>
  <w:style w:type="character" w:customStyle="1" w:styleId="21">
    <w:name w:val="Heading 3 Char"/>
    <w:basedOn w:val="15"/>
    <w:link w:val="6"/>
    <w:qFormat/>
    <w:uiPriority w:val="9"/>
    <w:rPr>
      <w:rFonts w:asciiTheme="majorHAnsi" w:hAnsiTheme="majorHAnsi" w:eastAsiaTheme="majorEastAsia" w:cstheme="majorBidi"/>
      <w:b/>
      <w:bCs/>
      <w:color w:val="4F81BD" w:themeColor="accent1"/>
      <w14:textFill>
        <w14:solidFill>
          <w14:schemeClr w14:val="accent1"/>
        </w14:solidFill>
      </w14:textFill>
    </w:rPr>
  </w:style>
  <w:style w:type="character" w:customStyle="1" w:styleId="22">
    <w:name w:val="Heading 4 Char"/>
    <w:basedOn w:val="15"/>
    <w:link w:val="7"/>
    <w:qFormat/>
    <w:uiPriority w:val="9"/>
    <w:rPr>
      <w:rFonts w:asciiTheme="majorHAnsi" w:hAnsiTheme="majorHAnsi" w:eastAsiaTheme="majorEastAsia" w:cstheme="majorBidi"/>
      <w:b/>
      <w:bCs/>
      <w:i/>
      <w:iCs/>
      <w:color w:val="4F81BD" w:themeColor="accent1"/>
      <w14:textFill>
        <w14:solidFill>
          <w14:schemeClr w14:val="accent1"/>
        </w14:solidFill>
      </w14:textFill>
    </w:rPr>
  </w:style>
  <w:style w:type="character" w:customStyle="1" w:styleId="23">
    <w:name w:val="Subtitle Char"/>
    <w:basedOn w:val="15"/>
    <w:link w:val="12"/>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character" w:customStyle="1" w:styleId="24">
    <w:name w:val="Title Char"/>
    <w:basedOn w:val="15"/>
    <w:link w:val="3"/>
    <w:qFormat/>
    <w:uiPriority w:val="10"/>
    <w:rPr>
      <w:rFonts w:asciiTheme="majorHAnsi" w:hAnsiTheme="majorHAnsi" w:eastAsiaTheme="majorEastAsia" w:cstheme="majorBidi"/>
      <w:color w:val="17375E" w:themeColor="text2" w:themeShade="BF"/>
      <w:spacing w:val="5"/>
      <w:kern w:val="28"/>
      <w:sz w:val="52"/>
      <w:szCs w:val="5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15</Pages>
  <Words>5294</Words>
  <Characters>6036</Characters>
  <TotalTime>25</TotalTime>
  <ScaleCrop>false</ScaleCrop>
  <LinksUpToDate>false</LinksUpToDate>
  <CharactersWithSpaces>6036</CharactersWithSpaces>
  <Application>WPS Office_12.1.0.15120_F1E327BC-269C-435d-A152-05C5408002CA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2025-08-13T12:09:00Z</dcterms:created>
  <dc:creator>Administrator</dc:creator>
  <cp:lastModifiedBy>冰儿</cp:lastModifiedBy>
  <dcterms:modified xsi:type="dcterms:W3CDTF">2025-09-03T05:46:34Z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eyJoZGlkIjoiMGIxZTI3ODM4ZmVjOGE5NDFiYmE3OTRiMjQ5OTEyNzIiLCJ1c2VySWQiOiIyNTk4NTcxMjUifQ==</vt:lpwstr>
  </property>
  <property fmtid="{D5CDD505-2E9C-101B-9397-08002B2CF9AE}" pid="3" name="KSOProductBuildVer">
    <vt:lpwstr>2052-12.1.0.15120</vt:lpwstr>
  </property>
  <property fmtid="{D5CDD505-2E9C-101B-9397-08002B2CF9AE}" pid="4" name="ICV">
    <vt:lpwstr>002A93F14A5943E2BD7F25613514BCC1_13</vt:lpwstr>
  </property>
</Properties>
</file>