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3B3182">
      <w:pPr>
        <w:widowControl/>
        <w:spacing w:before="0" w:beforeLines="0" w:beforeAutospacing="0" w:after="0" w:afterLines="0" w:afterAutospacing="0" w:line="240" w:lineRule="auto"/>
        <w:jc w:val="left"/>
        <w:rPr>
          <w:rFonts w:ascii="宋体" w:eastAsia="宋体"/>
          <w:sz w:val="32"/>
          <w:szCs w:val="32"/>
          <w:u w:val="none"/>
        </w:rPr>
      </w:pPr>
    </w:p>
    <w:p w14:paraId="69D39B4B">
      <w:pPr>
        <w:widowControl/>
        <w:spacing w:before="0" w:beforeLines="0" w:beforeAutospacing="0" w:after="0" w:afterLines="0" w:afterAutospacing="0" w:line="240" w:lineRule="auto"/>
        <w:jc w:val="left"/>
        <w:rPr>
          <w:rFonts w:ascii="宋体" w:eastAsia="宋体"/>
          <w:sz w:val="44"/>
          <w:szCs w:val="44"/>
          <w:u w:val="none"/>
        </w:rPr>
      </w:pPr>
    </w:p>
    <w:p w14:paraId="637E54BE">
      <w:pPr>
        <w:widowControl/>
        <w:spacing w:before="0" w:beforeLines="0" w:beforeAutospacing="0" w:after="0" w:afterLines="0" w:afterAutospacing="0" w:line="240" w:lineRule="auto"/>
        <w:jc w:val="left"/>
        <w:rPr>
          <w:rFonts w:ascii="宋体" w:eastAsia="宋体"/>
          <w:sz w:val="44"/>
          <w:szCs w:val="44"/>
          <w:u w:val="none"/>
        </w:rPr>
      </w:pPr>
    </w:p>
    <w:p w14:paraId="06570158">
      <w:pPr>
        <w:widowControl/>
        <w:spacing w:before="0" w:beforeLines="0" w:beforeAutospacing="0" w:after="0" w:afterLines="0" w:afterAutospacing="0" w:line="240" w:lineRule="auto"/>
        <w:jc w:val="left"/>
        <w:rPr>
          <w:rFonts w:ascii="宋体" w:eastAsia="宋体"/>
          <w:sz w:val="44"/>
          <w:szCs w:val="44"/>
          <w:u w:val="none"/>
        </w:rPr>
      </w:pPr>
    </w:p>
    <w:p w14:paraId="7BDFEFD7">
      <w:pPr>
        <w:widowControl/>
        <w:spacing w:before="0" w:beforeLines="0" w:beforeAutospacing="0" w:after="0" w:afterLines="0" w:afterAutospacing="0" w:line="240" w:lineRule="auto"/>
        <w:jc w:val="center"/>
        <w:outlineLvl w:val="0"/>
        <w:rPr>
          <w:rFonts w:ascii="宋体" w:eastAsia="黑体"/>
          <w:sz w:val="44"/>
          <w:szCs w:val="44"/>
          <w:u w:val="none"/>
        </w:rPr>
      </w:pPr>
      <w:r>
        <w:rPr>
          <w:rFonts w:ascii="宋体" w:eastAsia="黑体"/>
          <w:b w:val="0"/>
          <w:sz w:val="44"/>
          <w:szCs w:val="44"/>
          <w:u w:val="none"/>
        </w:rPr>
        <w:t>新疆维吾尔自治区粮食和物资储备局机关服务中心</w:t>
      </w:r>
    </w:p>
    <w:p w14:paraId="376F6F23">
      <w:pPr>
        <w:widowControl/>
        <w:spacing w:before="0" w:beforeLines="0" w:beforeAutospacing="0" w:after="0" w:afterLines="0" w:afterAutospacing="0" w:line="240" w:lineRule="auto"/>
        <w:jc w:val="center"/>
        <w:outlineLvl w:val="0"/>
        <w:rPr>
          <w:rFonts w:ascii="黑体" w:eastAsia="黑体"/>
          <w:sz w:val="44"/>
          <w:szCs w:val="44"/>
          <w:u w:val="none"/>
        </w:rPr>
      </w:pPr>
      <w:r>
        <w:rPr>
          <w:rFonts w:ascii="黑体" w:eastAsia="黑体"/>
          <w:b w:val="0"/>
          <w:sz w:val="44"/>
          <w:szCs w:val="44"/>
          <w:u w:val="none"/>
        </w:rPr>
        <w:t>2024年度部门决算公开说明</w:t>
      </w:r>
    </w:p>
    <w:p w14:paraId="29996904">
      <w:pPr>
        <w:widowControl/>
        <w:rPr>
          <w:u w:val="none"/>
        </w:rPr>
      </w:pPr>
      <w:r>
        <w:rPr>
          <w:b w:val="0"/>
          <w:sz w:val="0"/>
          <w:szCs w:val="0"/>
          <w:u w:val="none"/>
        </w:rPr>
        <w:br w:type="page"/>
      </w:r>
    </w:p>
    <w:p w14:paraId="08054E93">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center"/>
        <w:textAlignment w:val="auto"/>
        <w:rPr>
          <w:rFonts w:ascii="黑体" w:eastAsia="黑体"/>
          <w:kern w:val="21"/>
          <w:sz w:val="32"/>
          <w:szCs w:val="32"/>
          <w:u w:val="none"/>
        </w:rPr>
      </w:pPr>
      <w:r>
        <w:rPr>
          <w:rFonts w:ascii="黑体" w:eastAsia="黑体"/>
          <w:b/>
          <w:kern w:val="21"/>
          <w:sz w:val="32"/>
          <w:szCs w:val="32"/>
          <w:u w:val="none"/>
        </w:rPr>
        <w:t>目录</w:t>
      </w:r>
    </w:p>
    <w:p w14:paraId="7AD5D393">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kern w:val="21"/>
          <w:sz w:val="32"/>
          <w:szCs w:val="32"/>
          <w:u w:val="none"/>
        </w:rPr>
        <w:t>第一部分单位概况</w:t>
      </w:r>
    </w:p>
    <w:p w14:paraId="77E5E4DC">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一、主要职能</w:t>
      </w:r>
    </w:p>
    <w:p w14:paraId="1FFBC727">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二、机构设置及人员情况</w:t>
      </w:r>
    </w:p>
    <w:p w14:paraId="022B037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kern w:val="21"/>
          <w:sz w:val="32"/>
          <w:szCs w:val="32"/>
          <w:u w:val="none"/>
        </w:rPr>
        <w:t>第二部分部门决算情况说明</w:t>
      </w:r>
    </w:p>
    <w:p w14:paraId="0F1134A3">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一、收入支出决算总体情况说明</w:t>
      </w:r>
    </w:p>
    <w:p w14:paraId="01AAA0C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二、收入决算情况说明</w:t>
      </w:r>
    </w:p>
    <w:p w14:paraId="3CEF0738">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三、支出决算情况说明</w:t>
      </w:r>
    </w:p>
    <w:p w14:paraId="48313DDB">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四、财政拨款收入支出决算总体情况说明</w:t>
      </w:r>
    </w:p>
    <w:p w14:paraId="07EBB7A7">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五、一般公共预算财政拨款支出决算情况说明</w:t>
      </w:r>
    </w:p>
    <w:p w14:paraId="0F8B8522">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（一）一般公共预算财政拨款支出决算总体情况</w:t>
      </w:r>
    </w:p>
    <w:p w14:paraId="24F52F0E">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（二）一般公共预算财政拨款支出决算结构情况</w:t>
      </w:r>
    </w:p>
    <w:p w14:paraId="319BEC5E">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（三）一般公共预算财政拨款支出决算具体情况</w:t>
      </w:r>
    </w:p>
    <w:p w14:paraId="70C73B7C">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六、一般公共预算财政拨款基本支出决算情况说明</w:t>
      </w:r>
    </w:p>
    <w:p w14:paraId="6E180963">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七、政府性基金预算财政拨款收入支出决算情况说明</w:t>
      </w:r>
    </w:p>
    <w:p w14:paraId="60DEBA47">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八、国有资本经营预算财政拨款收入支出决算情况说明</w:t>
      </w:r>
    </w:p>
    <w:p w14:paraId="43FD7487">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九、财政拨款</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三公</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经费支出决算情况说明</w:t>
      </w:r>
    </w:p>
    <w:p w14:paraId="7FD2B46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十、其他重要事项的情况说明</w:t>
      </w:r>
    </w:p>
    <w:p w14:paraId="7101C558">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（一）机关运行经费及公用经费支出情况</w:t>
      </w:r>
    </w:p>
    <w:p w14:paraId="0B077DB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（二）政府采购情况</w:t>
      </w:r>
    </w:p>
    <w:p w14:paraId="05AF756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（三）国有资产占用情况说明</w:t>
      </w:r>
    </w:p>
    <w:p w14:paraId="4A3DE03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十一、预算绩效的情况说明</w:t>
      </w:r>
    </w:p>
    <w:p w14:paraId="7A48693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十二、其他需说明的事项</w:t>
      </w:r>
    </w:p>
    <w:p w14:paraId="583A8AA3">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kern w:val="21"/>
          <w:sz w:val="32"/>
          <w:szCs w:val="32"/>
          <w:u w:val="none"/>
        </w:rPr>
        <w:t>第三部分专业名词解释</w:t>
      </w:r>
    </w:p>
    <w:p w14:paraId="7253665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kern w:val="21"/>
          <w:sz w:val="32"/>
          <w:szCs w:val="32"/>
          <w:u w:val="none"/>
        </w:rPr>
        <w:t>第四部分部门决算报表（见附表）</w:t>
      </w:r>
    </w:p>
    <w:p w14:paraId="71D968AB">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一、《收入支出决算总表》</w:t>
      </w:r>
    </w:p>
    <w:p w14:paraId="4548AB78">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二、《收入决算表》</w:t>
      </w:r>
    </w:p>
    <w:p w14:paraId="0F227A9B">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三、《支出决算表》</w:t>
      </w:r>
    </w:p>
    <w:p w14:paraId="64359327">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四、《财政拨款收入支出决算总表》</w:t>
      </w:r>
    </w:p>
    <w:p w14:paraId="4306E072">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五、《一般公共预算财政拨款支出决算表》</w:t>
      </w:r>
    </w:p>
    <w:p w14:paraId="49579E0E">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六、《一般公共预算财政拨款基本支出决算表》</w:t>
      </w:r>
    </w:p>
    <w:p w14:paraId="70DBF14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七、《政府性基金预算财政拨款收入支出决算表》</w:t>
      </w:r>
    </w:p>
    <w:p w14:paraId="2834083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八、《国有资本经营预算财政拨款收入支出决算表》</w:t>
      </w:r>
    </w:p>
    <w:p w14:paraId="2996A74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u w:val="none"/>
        </w:rPr>
      </w:pPr>
      <w:r>
        <w:rPr>
          <w:rFonts w:ascii="仿宋_GB2312" w:eastAsia="仿宋_GB2312"/>
          <w:b w:val="0"/>
          <w:kern w:val="21"/>
          <w:sz w:val="32"/>
          <w:szCs w:val="32"/>
          <w:u w:val="none"/>
        </w:rPr>
        <w:t>九、《财政拨款</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三公</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经费支出决算表》</w:t>
      </w:r>
    </w:p>
    <w:p w14:paraId="34B34C12">
      <w:pPr>
        <w:keepNext w:val="0"/>
        <w:keepLines w:val="0"/>
        <w:pageBreakBefore w:val="0"/>
        <w:widowControl w:val="0"/>
        <w:kinsoku/>
        <w:wordWrap/>
        <w:overflowPunct/>
        <w:topLinePunct/>
        <w:autoSpaceDE/>
        <w:autoSpaceDN/>
        <w:bidi w:val="0"/>
        <w:adjustRightInd/>
        <w:snapToGrid/>
        <w:spacing w:line="560" w:lineRule="exact"/>
        <w:jc w:val="both"/>
        <w:textAlignment w:val="auto"/>
        <w:rPr>
          <w:kern w:val="21"/>
          <w:sz w:val="32"/>
          <w:szCs w:val="32"/>
          <w:u w:val="none"/>
        </w:rPr>
      </w:pPr>
      <w:r>
        <w:rPr>
          <w:b w:val="0"/>
          <w:kern w:val="21"/>
          <w:sz w:val="32"/>
          <w:szCs w:val="32"/>
          <w:u w:val="none"/>
        </w:rPr>
        <w:br w:type="page"/>
      </w:r>
    </w:p>
    <w:p w14:paraId="7399075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center"/>
        <w:textAlignment w:val="auto"/>
        <w:outlineLvl w:val="0"/>
        <w:rPr>
          <w:rFonts w:ascii="黑体" w:eastAsia="黑体"/>
          <w:kern w:val="21"/>
          <w:sz w:val="32"/>
          <w:szCs w:val="32"/>
          <w:u w:val="none"/>
        </w:rPr>
      </w:pPr>
      <w:r>
        <w:rPr>
          <w:rFonts w:ascii="黑体" w:eastAsia="黑体"/>
          <w:b w:val="0"/>
          <w:kern w:val="21"/>
          <w:sz w:val="32"/>
          <w:szCs w:val="32"/>
          <w:u w:val="none"/>
        </w:rPr>
        <w:t>第一部分单位概况</w:t>
      </w:r>
    </w:p>
    <w:p w14:paraId="1C6DC4E4">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u w:val="none"/>
        </w:rPr>
      </w:pPr>
      <w:r>
        <w:rPr>
          <w:rFonts w:ascii="黑体" w:eastAsia="黑体"/>
          <w:b w:val="0"/>
          <w:kern w:val="21"/>
          <w:sz w:val="32"/>
          <w:szCs w:val="32"/>
          <w:u w:val="none"/>
        </w:rPr>
        <w:t>一、主要职能</w:t>
      </w:r>
    </w:p>
    <w:p w14:paraId="3D6C72A3">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kern w:val="21"/>
          <w:sz w:val="32"/>
          <w:szCs w:val="32"/>
          <w:u w:val="none"/>
        </w:rPr>
      </w:pPr>
      <w:r>
        <w:rPr>
          <w:rFonts w:ascii="仿宋_GB2312" w:eastAsia="仿宋_GB2312" w:hAnsiTheme="minorHAnsi" w:cstheme="minorBidi"/>
          <w:kern w:val="21"/>
          <w:sz w:val="32"/>
          <w:szCs w:val="32"/>
          <w:u w:val="none"/>
          <w:lang w:val="en-US" w:eastAsia="zh-CN" w:bidi="ar"/>
        </w:rPr>
        <w:t xml:space="preserve">为机关办公与职工生活提供后勤服务。负责局机关办公 </w:t>
      </w:r>
      <w:r>
        <w:rPr>
          <w:rFonts w:hint="default" w:ascii="仿宋_GB2312" w:eastAsia="仿宋_GB2312" w:hAnsiTheme="minorHAnsi" w:cstheme="minorBidi"/>
          <w:kern w:val="21"/>
          <w:sz w:val="32"/>
          <w:szCs w:val="32"/>
          <w:u w:val="none"/>
          <w:lang w:val="en-US" w:eastAsia="zh-CN" w:bidi="ar"/>
        </w:rPr>
        <w:t>设施设备的建设、维修及管理服务工作</w:t>
      </w:r>
      <w:r>
        <w:rPr>
          <w:rFonts w:hint="eastAsia" w:ascii="仿宋_GB2312" w:eastAsia="仿宋_GB2312" w:cstheme="minorBidi"/>
          <w:kern w:val="21"/>
          <w:sz w:val="32"/>
          <w:szCs w:val="32"/>
          <w:u w:val="none"/>
          <w:lang w:val="en-US" w:eastAsia="zh-CN" w:bidi="ar"/>
        </w:rPr>
        <w:t>；</w:t>
      </w:r>
      <w:r>
        <w:rPr>
          <w:rFonts w:hint="default" w:ascii="仿宋_GB2312" w:eastAsia="仿宋_GB2312" w:hAnsiTheme="minorHAnsi" w:cstheme="minorBidi"/>
          <w:kern w:val="21"/>
          <w:sz w:val="32"/>
          <w:szCs w:val="32"/>
          <w:u w:val="none"/>
          <w:lang w:val="en-US" w:eastAsia="zh-CN" w:bidi="ar"/>
        </w:rPr>
        <w:t>负责局机关办公楼安全保卫工作</w:t>
      </w:r>
      <w:r>
        <w:rPr>
          <w:rFonts w:hint="eastAsia" w:ascii="仿宋_GB2312" w:eastAsia="仿宋_GB2312" w:cstheme="minorBidi"/>
          <w:kern w:val="21"/>
          <w:sz w:val="32"/>
          <w:szCs w:val="32"/>
          <w:u w:val="none"/>
          <w:lang w:val="en-US" w:eastAsia="zh-CN" w:bidi="ar"/>
        </w:rPr>
        <w:t>；</w:t>
      </w:r>
      <w:r>
        <w:rPr>
          <w:rFonts w:hint="default" w:ascii="仿宋_GB2312" w:eastAsia="仿宋_GB2312" w:hAnsiTheme="minorHAnsi" w:cstheme="minorBidi"/>
          <w:kern w:val="21"/>
          <w:sz w:val="32"/>
          <w:szCs w:val="32"/>
          <w:u w:val="none"/>
          <w:lang w:val="en-US" w:eastAsia="zh-CN" w:bidi="ar"/>
        </w:rPr>
        <w:t>负责受委托国有资产的管理工作</w:t>
      </w:r>
      <w:r>
        <w:rPr>
          <w:rFonts w:hint="eastAsia" w:ascii="仿宋_GB2312" w:eastAsia="仿宋_GB2312" w:cstheme="minorBidi"/>
          <w:kern w:val="21"/>
          <w:sz w:val="32"/>
          <w:szCs w:val="32"/>
          <w:u w:val="none"/>
          <w:lang w:val="en-US" w:eastAsia="zh-CN" w:bidi="ar"/>
        </w:rPr>
        <w:t>；</w:t>
      </w:r>
      <w:r>
        <w:rPr>
          <w:rFonts w:hint="default" w:ascii="仿宋_GB2312" w:eastAsia="仿宋_GB2312" w:hAnsiTheme="minorHAnsi" w:cstheme="minorBidi"/>
          <w:kern w:val="21"/>
          <w:sz w:val="32"/>
          <w:szCs w:val="32"/>
          <w:u w:val="none"/>
          <w:lang w:val="en-US" w:eastAsia="zh-CN" w:bidi="ar"/>
        </w:rPr>
        <w:t>负责局机关车队的管理工作</w:t>
      </w:r>
      <w:r>
        <w:rPr>
          <w:rFonts w:hint="eastAsia" w:ascii="仿宋_GB2312" w:eastAsia="仿宋_GB2312" w:cstheme="minorBidi"/>
          <w:kern w:val="21"/>
          <w:sz w:val="32"/>
          <w:szCs w:val="32"/>
          <w:u w:val="none"/>
          <w:lang w:val="en-US" w:eastAsia="zh-CN" w:bidi="ar"/>
        </w:rPr>
        <w:t>；</w:t>
      </w:r>
      <w:r>
        <w:rPr>
          <w:rFonts w:hint="default" w:ascii="仿宋_GB2312" w:eastAsia="仿宋_GB2312" w:hAnsiTheme="minorHAnsi" w:cstheme="minorBidi"/>
          <w:kern w:val="21"/>
          <w:sz w:val="32"/>
          <w:szCs w:val="32"/>
          <w:u w:val="none"/>
          <w:lang w:val="en-US" w:eastAsia="zh-CN" w:bidi="ar"/>
        </w:rPr>
        <w:t>承办机关委托事项。</w:t>
      </w:r>
    </w:p>
    <w:p w14:paraId="45C1DFE3">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u w:val="none"/>
        </w:rPr>
      </w:pPr>
      <w:r>
        <w:rPr>
          <w:rFonts w:ascii="黑体" w:eastAsia="黑体"/>
          <w:b w:val="0"/>
          <w:kern w:val="21"/>
          <w:sz w:val="32"/>
          <w:szCs w:val="32"/>
          <w:u w:val="none"/>
        </w:rPr>
        <w:t>二、机构设置及人员情况</w:t>
      </w:r>
    </w:p>
    <w:p w14:paraId="788D0D01">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kern w:val="21"/>
          <w:sz w:val="32"/>
          <w:szCs w:val="32"/>
          <w:u w:val="none"/>
        </w:rPr>
      </w:pPr>
      <w:r>
        <w:rPr>
          <w:rFonts w:hint="eastAsia" w:ascii="仿宋_GB2312" w:hAnsi="仿宋_GB2312" w:eastAsia="仿宋_GB2312" w:cs="仿宋_GB2312"/>
          <w:b w:val="0"/>
          <w:kern w:val="21"/>
          <w:sz w:val="32"/>
          <w:szCs w:val="32"/>
          <w:u w:val="none"/>
        </w:rPr>
        <w:t>新疆维吾尔自治区粮食和物资储备局机关服务中心2024年度，实有人数76人，其中：在职人员22人，减少1人；离休人员1人，</w:t>
      </w:r>
      <w:r>
        <w:rPr>
          <w:rFonts w:hint="eastAsia" w:ascii="仿宋_GB2312" w:hAnsi="仿宋_GB2312" w:eastAsia="仿宋_GB2312" w:cs="仿宋_GB2312"/>
          <w:b w:val="0"/>
          <w:kern w:val="21"/>
          <w:sz w:val="32"/>
          <w:szCs w:val="32"/>
          <w:u w:val="none"/>
          <w:lang w:eastAsia="zh-CN"/>
        </w:rPr>
        <w:t>减少</w:t>
      </w:r>
      <w:r>
        <w:rPr>
          <w:rFonts w:hint="eastAsia" w:ascii="仿宋_GB2312" w:hAnsi="仿宋_GB2312" w:eastAsia="仿宋_GB2312" w:cs="仿宋_GB2312"/>
          <w:b w:val="0"/>
          <w:kern w:val="21"/>
          <w:sz w:val="32"/>
          <w:szCs w:val="32"/>
          <w:u w:val="none"/>
          <w:lang w:val="en-US" w:eastAsia="zh-CN"/>
        </w:rPr>
        <w:t>0人</w:t>
      </w:r>
      <w:r>
        <w:rPr>
          <w:rFonts w:hint="eastAsia" w:ascii="仿宋_GB2312" w:hAnsi="仿宋_GB2312" w:eastAsia="仿宋_GB2312" w:cs="仿宋_GB2312"/>
          <w:b w:val="0"/>
          <w:kern w:val="21"/>
          <w:sz w:val="32"/>
          <w:szCs w:val="32"/>
          <w:u w:val="none"/>
        </w:rPr>
        <w:t>；退休人员53人，减少5人。</w:t>
      </w:r>
    </w:p>
    <w:p w14:paraId="75045AC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kern w:val="21"/>
          <w:sz w:val="32"/>
          <w:szCs w:val="32"/>
          <w:u w:val="none"/>
        </w:rPr>
      </w:pPr>
      <w:r>
        <w:rPr>
          <w:rFonts w:hint="eastAsia" w:ascii="仿宋_GB2312" w:hAnsi="仿宋_GB2312" w:eastAsia="仿宋_GB2312" w:cs="仿宋_GB2312"/>
          <w:b w:val="0"/>
          <w:kern w:val="21"/>
          <w:sz w:val="32"/>
          <w:szCs w:val="32"/>
          <w:u w:val="none"/>
        </w:rPr>
        <w:t>新疆维吾尔自治区粮食和物资储备局机关服务中心无下属预算单位，下设</w:t>
      </w:r>
      <w:r>
        <w:rPr>
          <w:rFonts w:hint="eastAsia" w:ascii="仿宋_GB2312" w:hAnsi="仿宋_GB2312" w:eastAsia="仿宋_GB2312" w:cs="仿宋_GB2312"/>
          <w:b w:val="0"/>
          <w:kern w:val="21"/>
          <w:sz w:val="32"/>
          <w:szCs w:val="32"/>
          <w:u w:val="none"/>
          <w:lang w:val="en-US" w:eastAsia="zh-CN"/>
        </w:rPr>
        <w:t>4</w:t>
      </w:r>
      <w:r>
        <w:rPr>
          <w:rFonts w:hint="eastAsia" w:ascii="仿宋_GB2312" w:hAnsi="仿宋_GB2312" w:eastAsia="仿宋_GB2312" w:cs="仿宋_GB2312"/>
          <w:b w:val="0"/>
          <w:kern w:val="21"/>
          <w:sz w:val="32"/>
          <w:szCs w:val="32"/>
          <w:u w:val="none"/>
        </w:rPr>
        <w:t>个</w:t>
      </w:r>
      <w:r>
        <w:rPr>
          <w:rFonts w:hint="eastAsia" w:ascii="仿宋_GB2312" w:hAnsi="仿宋_GB2312" w:eastAsia="仿宋_GB2312" w:cs="仿宋_GB2312"/>
          <w:b w:val="0"/>
          <w:kern w:val="21"/>
          <w:sz w:val="32"/>
          <w:szCs w:val="32"/>
          <w:u w:val="none"/>
          <w:lang w:val="en-US" w:eastAsia="zh-CN"/>
        </w:rPr>
        <w:t>科</w:t>
      </w:r>
      <w:r>
        <w:rPr>
          <w:rFonts w:hint="eastAsia" w:ascii="仿宋_GB2312" w:hAnsi="仿宋_GB2312" w:eastAsia="仿宋_GB2312" w:cs="仿宋_GB2312"/>
          <w:b w:val="0"/>
          <w:kern w:val="21"/>
          <w:sz w:val="32"/>
          <w:szCs w:val="32"/>
          <w:u w:val="none"/>
          <w:lang w:eastAsia="zh-CN"/>
        </w:rPr>
        <w:t>室</w:t>
      </w:r>
      <w:r>
        <w:rPr>
          <w:rFonts w:hint="eastAsia" w:ascii="仿宋_GB2312" w:hAnsi="仿宋_GB2312" w:eastAsia="仿宋_GB2312" w:cs="仿宋_GB2312"/>
          <w:b w:val="0"/>
          <w:kern w:val="21"/>
          <w:sz w:val="32"/>
          <w:szCs w:val="32"/>
          <w:u w:val="none"/>
        </w:rPr>
        <w:t>，分别是：</w:t>
      </w:r>
      <w:r>
        <w:rPr>
          <w:rFonts w:hint="eastAsia" w:ascii="仿宋_GB2312" w:hAnsi="仿宋_GB2312" w:eastAsia="仿宋_GB2312" w:cs="仿宋_GB2312"/>
          <w:kern w:val="21"/>
          <w:sz w:val="32"/>
          <w:szCs w:val="32"/>
          <w:highlight w:val="none"/>
          <w:u w:val="none"/>
          <w:lang w:val="en-US" w:eastAsia="zh-CN"/>
        </w:rPr>
        <w:t>办公室、财务科、综合管理科、车辆管理科</w:t>
      </w:r>
      <w:r>
        <w:rPr>
          <w:rFonts w:hint="eastAsia" w:ascii="仿宋_GB2312" w:hAnsi="仿宋_GB2312" w:eastAsia="仿宋_GB2312" w:cs="仿宋_GB2312"/>
          <w:b w:val="0"/>
          <w:kern w:val="21"/>
          <w:sz w:val="32"/>
          <w:szCs w:val="32"/>
          <w:u w:val="none"/>
        </w:rPr>
        <w:t>。</w:t>
      </w:r>
    </w:p>
    <w:p w14:paraId="36B8775D">
      <w:pPr>
        <w:keepNext w:val="0"/>
        <w:keepLines w:val="0"/>
        <w:pageBreakBefore w:val="0"/>
        <w:widowControl w:val="0"/>
        <w:kinsoku/>
        <w:wordWrap/>
        <w:overflowPunct/>
        <w:topLinePunct/>
        <w:autoSpaceDE/>
        <w:autoSpaceDN/>
        <w:bidi w:val="0"/>
        <w:adjustRightInd/>
        <w:snapToGrid/>
        <w:spacing w:line="560" w:lineRule="exact"/>
        <w:jc w:val="both"/>
        <w:textAlignment w:val="auto"/>
        <w:rPr>
          <w:kern w:val="21"/>
          <w:sz w:val="32"/>
          <w:szCs w:val="32"/>
          <w:u w:val="none"/>
        </w:rPr>
      </w:pPr>
      <w:r>
        <w:rPr>
          <w:b w:val="0"/>
          <w:kern w:val="21"/>
          <w:sz w:val="32"/>
          <w:szCs w:val="32"/>
          <w:u w:val="none"/>
        </w:rPr>
        <w:br w:type="page"/>
      </w:r>
    </w:p>
    <w:p w14:paraId="5C40D0A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center"/>
        <w:textAlignment w:val="auto"/>
        <w:outlineLvl w:val="0"/>
        <w:rPr>
          <w:rFonts w:ascii="黑体" w:eastAsia="黑体"/>
          <w:kern w:val="21"/>
          <w:sz w:val="32"/>
          <w:szCs w:val="32"/>
          <w:u w:val="none"/>
        </w:rPr>
      </w:pPr>
      <w:r>
        <w:rPr>
          <w:rFonts w:ascii="黑体" w:eastAsia="黑体"/>
          <w:b w:val="0"/>
          <w:kern w:val="21"/>
          <w:sz w:val="32"/>
          <w:szCs w:val="32"/>
          <w:u w:val="none"/>
        </w:rPr>
        <w:t>第二部分部门决算情况说明</w:t>
      </w:r>
    </w:p>
    <w:p w14:paraId="2B54846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u w:val="none"/>
        </w:rPr>
      </w:pPr>
      <w:r>
        <w:rPr>
          <w:rFonts w:ascii="黑体" w:eastAsia="黑体"/>
          <w:b w:val="0"/>
          <w:kern w:val="21"/>
          <w:sz w:val="32"/>
          <w:szCs w:val="32"/>
          <w:u w:val="none"/>
        </w:rPr>
        <w:t>一、收入支出决算总体情况说明</w:t>
      </w:r>
    </w:p>
    <w:p w14:paraId="79CFCA37">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2024年度收入总计-942.07万元，其中：本年收入合计1,152.25万元，使用非财政拨款结余（含专用结余）0.00万元，年初结转和结余-2,094.32万元。</w:t>
      </w:r>
    </w:p>
    <w:p w14:paraId="3BEEBD5B">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2024年度支出总计-942.07万元，其中：本年支出合计1,104.56万元，结余分配0.00万元，年末结转和结余-2,046.63万元。</w:t>
      </w:r>
    </w:p>
    <w:p w14:paraId="3B292BA3">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收入支出总体与上年相比，增加436.01万元，增长31.64%，主要原因是：</w:t>
      </w:r>
      <w:r>
        <w:rPr>
          <w:rFonts w:hint="eastAsia" w:ascii="仿宋_GB2312" w:eastAsia="仿宋_GB2312"/>
          <w:b w:val="0"/>
          <w:kern w:val="21"/>
          <w:sz w:val="32"/>
          <w:szCs w:val="32"/>
          <w:u w:val="none"/>
        </w:rPr>
        <w:t>本年</w:t>
      </w:r>
      <w:r>
        <w:rPr>
          <w:rFonts w:hint="eastAsia" w:ascii="仿宋_GB2312" w:eastAsia="仿宋_GB2312"/>
          <w:b w:val="0"/>
          <w:kern w:val="21"/>
          <w:sz w:val="32"/>
          <w:szCs w:val="32"/>
          <w:u w:val="none"/>
          <w:lang w:val="en-US" w:eastAsia="zh-CN"/>
        </w:rPr>
        <w:t>资本有偿使用收入增加，办公用房</w:t>
      </w:r>
      <w:r>
        <w:rPr>
          <w:rFonts w:hint="eastAsia" w:ascii="仿宋_GB2312" w:eastAsia="仿宋_GB2312"/>
          <w:b w:val="0"/>
          <w:kern w:val="21"/>
          <w:sz w:val="32"/>
          <w:szCs w:val="32"/>
          <w:u w:val="none"/>
        </w:rPr>
        <w:t>维修改造项目资金</w:t>
      </w:r>
      <w:r>
        <w:rPr>
          <w:rFonts w:hint="eastAsia" w:ascii="仿宋_GB2312" w:eastAsia="仿宋_GB2312"/>
          <w:b w:val="0"/>
          <w:kern w:val="21"/>
          <w:sz w:val="32"/>
          <w:szCs w:val="32"/>
          <w:u w:val="none"/>
          <w:lang w:val="en-US" w:eastAsia="zh-CN"/>
        </w:rPr>
        <w:t>增加</w:t>
      </w:r>
      <w:r>
        <w:rPr>
          <w:rFonts w:hint="eastAsia" w:ascii="仿宋_GB2312" w:eastAsia="仿宋_GB2312"/>
          <w:b w:val="0"/>
          <w:kern w:val="21"/>
          <w:sz w:val="32"/>
          <w:szCs w:val="32"/>
          <w:u w:val="none"/>
        </w:rPr>
        <w:t>，并消化往年结转资金</w:t>
      </w:r>
      <w:r>
        <w:rPr>
          <w:rFonts w:hint="eastAsia" w:ascii="仿宋_GB2312" w:eastAsia="仿宋_GB2312"/>
          <w:b w:val="0"/>
          <w:kern w:val="21"/>
          <w:sz w:val="32"/>
          <w:szCs w:val="32"/>
          <w:u w:val="none"/>
          <w:lang w:eastAsia="zh-CN"/>
        </w:rPr>
        <w:t>，</w:t>
      </w:r>
      <w:r>
        <w:rPr>
          <w:rFonts w:hint="eastAsia" w:ascii="仿宋_GB2312" w:eastAsia="仿宋_GB2312"/>
          <w:b w:val="0"/>
          <w:kern w:val="21"/>
          <w:sz w:val="32"/>
          <w:szCs w:val="32"/>
          <w:u w:val="none"/>
        </w:rPr>
        <w:t>故本年项目支出增加量较大</w:t>
      </w:r>
      <w:r>
        <w:rPr>
          <w:rFonts w:ascii="仿宋_GB2312" w:eastAsia="仿宋_GB2312"/>
          <w:b w:val="0"/>
          <w:kern w:val="21"/>
          <w:sz w:val="32"/>
          <w:szCs w:val="32"/>
          <w:u w:val="none"/>
        </w:rPr>
        <w:t>。</w:t>
      </w:r>
    </w:p>
    <w:p w14:paraId="1C80CEA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u w:val="none"/>
        </w:rPr>
      </w:pPr>
      <w:r>
        <w:rPr>
          <w:rFonts w:ascii="黑体" w:eastAsia="黑体"/>
          <w:b w:val="0"/>
          <w:kern w:val="21"/>
          <w:sz w:val="32"/>
          <w:szCs w:val="32"/>
          <w:u w:val="none"/>
        </w:rPr>
        <w:t>二、收入决算情况说明</w:t>
      </w:r>
    </w:p>
    <w:p w14:paraId="3CE33FEF">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本年收入1,152.25万元，其中：财政拨款收入820.07万元,占71.17%；上级补助收入0.00万元,占0.00%；事业收入0.00万元，占0.00%；经营收入0.00万元,占0.00%；附属单位上缴收入0.00万元，占0.00%；其他收入332.18万元，占28.83%。</w:t>
      </w:r>
    </w:p>
    <w:p w14:paraId="270646F9">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u w:val="none"/>
        </w:rPr>
      </w:pPr>
      <w:r>
        <w:rPr>
          <w:rFonts w:ascii="黑体" w:eastAsia="黑体"/>
          <w:b w:val="0"/>
          <w:kern w:val="21"/>
          <w:sz w:val="32"/>
          <w:szCs w:val="32"/>
          <w:u w:val="none"/>
        </w:rPr>
        <w:t>三、支出决算情况说明</w:t>
      </w:r>
    </w:p>
    <w:p w14:paraId="462BCA49">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本年支出1,104.56万元，其中：基本支出613.60万元，占55.55%；项目支出490.96万元，占44.45%；上缴上级支出0.00万元，占0.00%；经营支出0.00万元，占0.00%；对附属单位补助支出0.00万元，占0.00%。</w:t>
      </w:r>
    </w:p>
    <w:p w14:paraId="7CE31C31">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u w:val="none"/>
        </w:rPr>
      </w:pPr>
      <w:r>
        <w:rPr>
          <w:rFonts w:ascii="黑体" w:eastAsia="黑体"/>
          <w:b w:val="0"/>
          <w:kern w:val="21"/>
          <w:sz w:val="32"/>
          <w:szCs w:val="32"/>
          <w:u w:val="none"/>
        </w:rPr>
        <w:t>四、财政拨款收入支出决算总体情况说明</w:t>
      </w:r>
    </w:p>
    <w:p w14:paraId="79ABEB1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2024年度财政拨款收入总计820.07万元，其中：年初财政拨款结转和结余0.00万元，本年财政拨款收入820.07万元。财政拨款支出总计820.07万元，其中：年末财政拨款结转和结余6.12万元，本年财政拨款支出813.95万元。</w:t>
      </w:r>
    </w:p>
    <w:p w14:paraId="78E1941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财政拨款收入支出总体与上年相比，增加15.14万元，增长1.88%，主要原因是：</w:t>
      </w:r>
      <w:r>
        <w:rPr>
          <w:rFonts w:hint="eastAsia" w:ascii="仿宋_GB2312" w:hAnsi="仿宋" w:eastAsia="仿宋_GB2312"/>
          <w:kern w:val="21"/>
          <w:sz w:val="32"/>
          <w:szCs w:val="32"/>
          <w:highlight w:val="none"/>
          <w:u w:val="none"/>
          <w:lang w:eastAsia="zh-CN"/>
        </w:rPr>
        <w:t>在职人员调增基本工资、基础绩效和年度考核奖等支出</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与年初预算相比，年初预算数581.15万元，决算数820.07万元，预决算差异率41.11%，主要原因是：</w:t>
      </w:r>
      <w:r>
        <w:rPr>
          <w:rFonts w:hint="eastAsia" w:ascii="仿宋_GB2312" w:hAnsi="仿宋" w:eastAsia="仿宋_GB2312"/>
          <w:kern w:val="21"/>
          <w:sz w:val="32"/>
          <w:szCs w:val="32"/>
          <w:highlight w:val="none"/>
          <w:u w:val="none"/>
          <w:lang w:val="en-US" w:eastAsia="zh-CN"/>
        </w:rPr>
        <w:t>年中预算调整调剂追加</w:t>
      </w:r>
      <w:r>
        <w:rPr>
          <w:rFonts w:hint="eastAsia" w:ascii="仿宋_GB2312" w:hAnsi="仿宋" w:eastAsia="仿宋_GB2312"/>
          <w:kern w:val="21"/>
          <w:sz w:val="32"/>
          <w:szCs w:val="32"/>
          <w:highlight w:val="none"/>
          <w:u w:val="none"/>
          <w:lang w:eastAsia="zh-CN"/>
        </w:rPr>
        <w:t>在职人员调增基本工资、基础绩效和年度考核奖等支出，</w:t>
      </w:r>
      <w:r>
        <w:rPr>
          <w:rFonts w:hint="eastAsia" w:ascii="仿宋_GB2312" w:hAnsi="仿宋" w:eastAsia="仿宋_GB2312" w:cs="仿宋"/>
          <w:color w:val="000000"/>
          <w:kern w:val="21"/>
          <w:sz w:val="32"/>
          <w:szCs w:val="32"/>
          <w:highlight w:val="none"/>
          <w:u w:val="none"/>
          <w:lang w:val="en-US" w:eastAsia="zh-CN"/>
        </w:rPr>
        <w:t>追加</w:t>
      </w:r>
      <w:r>
        <w:rPr>
          <w:rFonts w:hint="eastAsia" w:ascii="仿宋_GB2312" w:eastAsia="仿宋_GB2312"/>
          <w:b w:val="0"/>
          <w:kern w:val="21"/>
          <w:sz w:val="32"/>
          <w:szCs w:val="32"/>
          <w:u w:val="none"/>
          <w:lang w:val="en-US" w:eastAsia="zh-CN"/>
        </w:rPr>
        <w:t>办公用房</w:t>
      </w:r>
      <w:r>
        <w:rPr>
          <w:rFonts w:hint="eastAsia" w:ascii="仿宋_GB2312" w:eastAsia="仿宋_GB2312"/>
          <w:b w:val="0"/>
          <w:kern w:val="21"/>
          <w:sz w:val="32"/>
          <w:szCs w:val="32"/>
          <w:u w:val="none"/>
        </w:rPr>
        <w:t>维修改造项目</w:t>
      </w:r>
      <w:r>
        <w:rPr>
          <w:rFonts w:hint="eastAsia" w:ascii="仿宋_GB2312" w:hAnsi="仿宋" w:eastAsia="仿宋_GB2312" w:cs="仿宋"/>
          <w:color w:val="000000"/>
          <w:kern w:val="21"/>
          <w:sz w:val="32"/>
          <w:szCs w:val="32"/>
          <w:highlight w:val="none"/>
          <w:u w:val="none"/>
          <w:lang w:val="en-US" w:eastAsia="zh-CN"/>
        </w:rPr>
        <w:t>资金，导致预决算存在差异</w:t>
      </w:r>
      <w:r>
        <w:rPr>
          <w:rFonts w:ascii="仿宋_GB2312" w:eastAsia="仿宋_GB2312"/>
          <w:b w:val="0"/>
          <w:kern w:val="21"/>
          <w:sz w:val="32"/>
          <w:szCs w:val="32"/>
          <w:u w:val="none"/>
        </w:rPr>
        <w:t>。</w:t>
      </w:r>
    </w:p>
    <w:p w14:paraId="3E465F1E">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u w:val="none"/>
        </w:rPr>
      </w:pPr>
      <w:r>
        <w:rPr>
          <w:rFonts w:ascii="黑体" w:eastAsia="黑体"/>
          <w:b w:val="0"/>
          <w:kern w:val="21"/>
          <w:sz w:val="32"/>
          <w:szCs w:val="32"/>
          <w:u w:val="none"/>
        </w:rPr>
        <w:t>五、一般公共预算财政拨款支出决算情况说明</w:t>
      </w:r>
    </w:p>
    <w:p w14:paraId="48821DA9">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kern w:val="21"/>
          <w:sz w:val="32"/>
          <w:szCs w:val="32"/>
          <w:u w:val="none"/>
        </w:rPr>
      </w:pPr>
      <w:r>
        <w:rPr>
          <w:rFonts w:ascii="仿宋_GB2312" w:eastAsia="仿宋_GB2312"/>
          <w:b/>
          <w:kern w:val="21"/>
          <w:sz w:val="32"/>
          <w:szCs w:val="32"/>
          <w:u w:val="none"/>
        </w:rPr>
        <w:t>（一）一般公共预算财政拨款支出决算总体情况</w:t>
      </w:r>
    </w:p>
    <w:p w14:paraId="232879CE">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2024年度一般公共预算财政拨款支出813.95万元，占本年支出合计的73.69%。与上年相比，增加9.02万元，增长1.12%，主要原因是：</w:t>
      </w:r>
      <w:r>
        <w:rPr>
          <w:rFonts w:hint="eastAsia" w:ascii="仿宋_GB2312" w:hAnsi="仿宋" w:eastAsia="仿宋_GB2312"/>
          <w:kern w:val="21"/>
          <w:sz w:val="32"/>
          <w:szCs w:val="32"/>
          <w:highlight w:val="none"/>
          <w:u w:val="none"/>
          <w:lang w:eastAsia="zh-CN"/>
        </w:rPr>
        <w:t>在职人员调增基本工资、基础绩效和年度考核奖等支出</w:t>
      </w:r>
      <w:r>
        <w:rPr>
          <w:rFonts w:ascii="仿宋_GB2312" w:eastAsia="仿宋_GB2312"/>
          <w:b w:val="0"/>
          <w:kern w:val="21"/>
          <w:sz w:val="32"/>
          <w:szCs w:val="32"/>
          <w:u w:val="none"/>
        </w:rPr>
        <w:t>。与年初预算相比，年初预算数581.15万元，决算数813.95万元，预决算差异率40.06%，主要原因是：</w:t>
      </w:r>
      <w:r>
        <w:rPr>
          <w:rFonts w:hint="eastAsia" w:ascii="仿宋_GB2312" w:hAnsi="仿宋" w:eastAsia="仿宋_GB2312"/>
          <w:kern w:val="21"/>
          <w:sz w:val="32"/>
          <w:szCs w:val="32"/>
          <w:highlight w:val="none"/>
          <w:u w:val="none"/>
          <w:lang w:val="en-US" w:eastAsia="zh-CN"/>
        </w:rPr>
        <w:t>年中预算调整调剂追加</w:t>
      </w:r>
      <w:r>
        <w:rPr>
          <w:rFonts w:hint="eastAsia" w:ascii="仿宋_GB2312" w:hAnsi="仿宋" w:eastAsia="仿宋_GB2312"/>
          <w:kern w:val="21"/>
          <w:sz w:val="32"/>
          <w:szCs w:val="32"/>
          <w:highlight w:val="none"/>
          <w:u w:val="none"/>
          <w:lang w:eastAsia="zh-CN"/>
        </w:rPr>
        <w:t>在职人员调增基本工资、基础绩效和年度考核奖等支出，</w:t>
      </w:r>
      <w:r>
        <w:rPr>
          <w:rFonts w:hint="eastAsia" w:ascii="仿宋_GB2312" w:hAnsi="仿宋" w:eastAsia="仿宋_GB2312"/>
          <w:kern w:val="21"/>
          <w:sz w:val="32"/>
          <w:szCs w:val="32"/>
          <w:highlight w:val="none"/>
          <w:u w:val="none"/>
          <w:lang w:val="en-US" w:eastAsia="zh-CN"/>
        </w:rPr>
        <w:t>年中</w:t>
      </w:r>
      <w:r>
        <w:rPr>
          <w:rFonts w:hint="eastAsia" w:ascii="仿宋_GB2312" w:hAnsi="仿宋" w:eastAsia="仿宋_GB2312" w:cs="仿宋"/>
          <w:color w:val="000000"/>
          <w:kern w:val="21"/>
          <w:sz w:val="32"/>
          <w:szCs w:val="32"/>
          <w:highlight w:val="none"/>
          <w:u w:val="none"/>
          <w:lang w:val="en-US" w:eastAsia="zh-CN"/>
        </w:rPr>
        <w:t>追加</w:t>
      </w:r>
      <w:r>
        <w:rPr>
          <w:rFonts w:hint="eastAsia" w:ascii="仿宋_GB2312" w:eastAsia="仿宋_GB2312"/>
          <w:b w:val="0"/>
          <w:kern w:val="21"/>
          <w:sz w:val="32"/>
          <w:szCs w:val="32"/>
          <w:u w:val="none"/>
          <w:lang w:val="en-US" w:eastAsia="zh-CN"/>
        </w:rPr>
        <w:t>办公用房</w:t>
      </w:r>
      <w:r>
        <w:rPr>
          <w:rFonts w:hint="eastAsia" w:ascii="仿宋_GB2312" w:eastAsia="仿宋_GB2312"/>
          <w:b w:val="0"/>
          <w:kern w:val="21"/>
          <w:sz w:val="32"/>
          <w:szCs w:val="32"/>
          <w:u w:val="none"/>
        </w:rPr>
        <w:t>维修改造项目</w:t>
      </w:r>
      <w:r>
        <w:rPr>
          <w:rFonts w:hint="eastAsia" w:ascii="仿宋_GB2312" w:hAnsi="仿宋" w:eastAsia="仿宋_GB2312" w:cs="仿宋"/>
          <w:color w:val="000000"/>
          <w:kern w:val="21"/>
          <w:sz w:val="32"/>
          <w:szCs w:val="32"/>
          <w:highlight w:val="none"/>
          <w:u w:val="none"/>
          <w:lang w:val="en-US" w:eastAsia="zh-CN"/>
        </w:rPr>
        <w:t>资金，导致预决算存在差异</w:t>
      </w:r>
      <w:r>
        <w:rPr>
          <w:rFonts w:ascii="仿宋_GB2312" w:eastAsia="仿宋_GB2312"/>
          <w:b w:val="0"/>
          <w:kern w:val="21"/>
          <w:sz w:val="32"/>
          <w:szCs w:val="32"/>
          <w:u w:val="none"/>
        </w:rPr>
        <w:t>。</w:t>
      </w:r>
    </w:p>
    <w:p w14:paraId="7BAAA213">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kern w:val="21"/>
          <w:sz w:val="32"/>
          <w:szCs w:val="32"/>
          <w:u w:val="none"/>
        </w:rPr>
      </w:pPr>
      <w:r>
        <w:rPr>
          <w:rFonts w:ascii="仿宋_GB2312" w:eastAsia="仿宋_GB2312"/>
          <w:b/>
          <w:kern w:val="21"/>
          <w:sz w:val="32"/>
          <w:szCs w:val="32"/>
          <w:u w:val="none"/>
        </w:rPr>
        <w:t>（二）一般公共预算财政拨款支出决算结构情况</w:t>
      </w:r>
    </w:p>
    <w:p w14:paraId="131AECAA">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hint="eastAsia" w:ascii="仿宋_GB2312" w:eastAsia="仿宋_GB2312"/>
          <w:b w:val="0"/>
          <w:kern w:val="21"/>
          <w:sz w:val="32"/>
          <w:szCs w:val="32"/>
          <w:u w:val="none"/>
          <w:lang w:val="en-US" w:eastAsia="zh-CN"/>
        </w:rPr>
        <w:t>1.</w:t>
      </w:r>
      <w:r>
        <w:rPr>
          <w:rFonts w:ascii="仿宋_GB2312" w:eastAsia="仿宋_GB2312"/>
          <w:b w:val="0"/>
          <w:kern w:val="21"/>
          <w:sz w:val="32"/>
          <w:szCs w:val="32"/>
          <w:u w:val="none"/>
        </w:rPr>
        <w:t>社会保障和就业支出（类）182.81万元，占22.46%。</w:t>
      </w:r>
    </w:p>
    <w:p w14:paraId="462DAEC9">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hint="eastAsia" w:ascii="仿宋_GB2312" w:eastAsia="仿宋_GB2312"/>
          <w:b w:val="0"/>
          <w:kern w:val="21"/>
          <w:sz w:val="32"/>
          <w:szCs w:val="32"/>
          <w:u w:val="none"/>
          <w:lang w:val="en-US" w:eastAsia="zh-CN"/>
        </w:rPr>
        <w:t>2.</w:t>
      </w:r>
      <w:r>
        <w:rPr>
          <w:rFonts w:ascii="仿宋_GB2312" w:eastAsia="仿宋_GB2312"/>
          <w:b w:val="0"/>
          <w:kern w:val="21"/>
          <w:sz w:val="32"/>
          <w:szCs w:val="32"/>
          <w:u w:val="none"/>
        </w:rPr>
        <w:t>卫生健康支出（类）39.31万元，占4.83%。</w:t>
      </w:r>
    </w:p>
    <w:p w14:paraId="42D51814">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hint="eastAsia" w:ascii="仿宋_GB2312" w:eastAsia="仿宋_GB2312"/>
          <w:b w:val="0"/>
          <w:kern w:val="21"/>
          <w:sz w:val="32"/>
          <w:szCs w:val="32"/>
          <w:u w:val="none"/>
          <w:lang w:val="en-US" w:eastAsia="zh-CN"/>
        </w:rPr>
        <w:t>3.</w:t>
      </w:r>
      <w:r>
        <w:rPr>
          <w:rFonts w:ascii="仿宋_GB2312" w:eastAsia="仿宋_GB2312"/>
          <w:b w:val="0"/>
          <w:kern w:val="21"/>
          <w:sz w:val="32"/>
          <w:szCs w:val="32"/>
          <w:u w:val="none"/>
        </w:rPr>
        <w:t>住房保障支出（类）32.91万元，占4.04%。</w:t>
      </w:r>
    </w:p>
    <w:p w14:paraId="1D2657BC">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hint="eastAsia" w:ascii="仿宋_GB2312" w:eastAsia="仿宋_GB2312"/>
          <w:b w:val="0"/>
          <w:kern w:val="21"/>
          <w:sz w:val="32"/>
          <w:szCs w:val="32"/>
          <w:u w:val="none"/>
          <w:lang w:val="en-US" w:eastAsia="zh-CN"/>
        </w:rPr>
        <w:t>4.</w:t>
      </w:r>
      <w:r>
        <w:rPr>
          <w:rFonts w:ascii="仿宋_GB2312" w:eastAsia="仿宋_GB2312"/>
          <w:b w:val="0"/>
          <w:kern w:val="21"/>
          <w:sz w:val="32"/>
          <w:szCs w:val="32"/>
          <w:u w:val="none"/>
        </w:rPr>
        <w:t>粮油物资储备支出（类）558.92万元，占68.67%。</w:t>
      </w:r>
    </w:p>
    <w:p w14:paraId="11BB479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kern w:val="21"/>
          <w:sz w:val="32"/>
          <w:szCs w:val="32"/>
          <w:u w:val="none"/>
        </w:rPr>
      </w:pPr>
      <w:r>
        <w:rPr>
          <w:rFonts w:ascii="仿宋_GB2312" w:eastAsia="仿宋_GB2312"/>
          <w:b/>
          <w:kern w:val="21"/>
          <w:sz w:val="32"/>
          <w:szCs w:val="32"/>
          <w:u w:val="none"/>
        </w:rPr>
        <w:t>（三）一般公共预算财政拨款支出决算具体情况</w:t>
      </w:r>
    </w:p>
    <w:p w14:paraId="368B6A42">
      <w:pPr>
        <w:keepNext w:val="0"/>
        <w:keepLines w:val="0"/>
        <w:pageBreakBefore w:val="0"/>
        <w:widowControl w:val="0"/>
        <w:numPr>
          <w:ilvl w:val="0"/>
          <w:numId w:val="1"/>
        </w:numPr>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highlight w:val="none"/>
          <w:u w:val="none"/>
        </w:rPr>
      </w:pPr>
      <w:r>
        <w:rPr>
          <w:rFonts w:ascii="仿宋_GB2312" w:eastAsia="仿宋_GB2312"/>
          <w:b w:val="0"/>
          <w:kern w:val="21"/>
          <w:sz w:val="32"/>
          <w:szCs w:val="32"/>
          <w:u w:val="none"/>
        </w:rPr>
        <w:t>社会保障和就业支出（类）行政事业单位养老支出（款）事业单位离退休（项）：支出决算数为130.86万元，比上年决算减少18.89万元，下降12.61%，主要原因是：</w:t>
      </w:r>
      <w:r>
        <w:rPr>
          <w:rFonts w:hint="eastAsia" w:ascii="仿宋_GB2312" w:eastAsia="仿宋_GB2312"/>
          <w:b w:val="0"/>
          <w:kern w:val="21"/>
          <w:sz w:val="32"/>
          <w:szCs w:val="32"/>
          <w:u w:val="none"/>
          <w:lang w:eastAsia="zh-CN"/>
        </w:rPr>
        <w:t>退</w:t>
      </w:r>
      <w:r>
        <w:rPr>
          <w:rFonts w:hint="eastAsia" w:ascii="仿宋_GB2312" w:eastAsia="仿宋_GB2312"/>
          <w:b w:val="0"/>
          <w:kern w:val="21"/>
          <w:sz w:val="32"/>
          <w:szCs w:val="32"/>
          <w:highlight w:val="none"/>
          <w:u w:val="none"/>
          <w:lang w:eastAsia="zh-CN"/>
        </w:rPr>
        <w:t>休人员减少，</w:t>
      </w:r>
      <w:r>
        <w:rPr>
          <w:rFonts w:ascii="仿宋_GB2312" w:eastAsia="仿宋_GB2312"/>
          <w:b w:val="0"/>
          <w:kern w:val="21"/>
          <w:sz w:val="32"/>
          <w:szCs w:val="32"/>
          <w:highlight w:val="none"/>
          <w:u w:val="none"/>
        </w:rPr>
        <w:t>事业单位离退休</w:t>
      </w:r>
      <w:r>
        <w:rPr>
          <w:rFonts w:hint="eastAsia" w:ascii="仿宋_GB2312" w:eastAsia="仿宋_GB2312"/>
          <w:b w:val="0"/>
          <w:kern w:val="21"/>
          <w:sz w:val="32"/>
          <w:szCs w:val="32"/>
          <w:highlight w:val="none"/>
          <w:u w:val="none"/>
          <w:lang w:eastAsia="zh-CN"/>
        </w:rPr>
        <w:t>支出减少。</w:t>
      </w:r>
    </w:p>
    <w:p w14:paraId="3953C58C">
      <w:pPr>
        <w:keepNext w:val="0"/>
        <w:keepLines w:val="0"/>
        <w:pageBreakBefore w:val="0"/>
        <w:widowControl w:val="0"/>
        <w:numPr>
          <w:ilvl w:val="0"/>
          <w:numId w:val="1"/>
        </w:numPr>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社会保障和就业支出（类）行政事业单位养老支出（款）机关事业单位基本养老保险缴费支出（项）：支出决算数为44.56万元，比上年决算减少1.30万元，下降2.83%，主要原因是：</w:t>
      </w:r>
      <w:r>
        <w:rPr>
          <w:rFonts w:hint="eastAsia" w:ascii="仿宋_GB2312" w:eastAsia="仿宋_GB2312"/>
          <w:b w:val="0"/>
          <w:kern w:val="21"/>
          <w:sz w:val="32"/>
          <w:szCs w:val="32"/>
          <w:u w:val="none"/>
          <w:lang w:eastAsia="zh-CN"/>
        </w:rPr>
        <w:t>在职人员减少，</w:t>
      </w:r>
      <w:r>
        <w:rPr>
          <w:rFonts w:ascii="仿宋_GB2312" w:eastAsia="仿宋_GB2312"/>
          <w:b w:val="0"/>
          <w:kern w:val="21"/>
          <w:sz w:val="32"/>
          <w:szCs w:val="32"/>
          <w:u w:val="none"/>
        </w:rPr>
        <w:t>基本养老保险缴费支出</w:t>
      </w:r>
      <w:r>
        <w:rPr>
          <w:rFonts w:hint="eastAsia" w:ascii="仿宋_GB2312" w:eastAsia="仿宋_GB2312"/>
          <w:b w:val="0"/>
          <w:kern w:val="21"/>
          <w:sz w:val="32"/>
          <w:szCs w:val="32"/>
          <w:u w:val="none"/>
          <w:lang w:eastAsia="zh-CN"/>
        </w:rPr>
        <w:t>减少。</w:t>
      </w:r>
    </w:p>
    <w:p w14:paraId="3C86E434">
      <w:pPr>
        <w:keepNext w:val="0"/>
        <w:keepLines w:val="0"/>
        <w:pageBreakBefore w:val="0"/>
        <w:widowControl w:val="0"/>
        <w:numPr>
          <w:ilvl w:val="0"/>
          <w:numId w:val="1"/>
        </w:numPr>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社会保障和就业支出（类）行政事业单位养老支出（款）机关事业单位职业年金缴费支出（项）：支出决算数为7.39万元，比上年决算减少14.43万元，下降66.13%，主要原因是：</w:t>
      </w:r>
      <w:r>
        <w:rPr>
          <w:rFonts w:hint="eastAsia" w:ascii="仿宋_GB2312" w:eastAsia="仿宋_GB2312"/>
          <w:b w:val="0"/>
          <w:kern w:val="21"/>
          <w:sz w:val="32"/>
          <w:szCs w:val="32"/>
          <w:highlight w:val="none"/>
          <w:u w:val="none"/>
          <w:lang w:val="en-US" w:eastAsia="zh-CN"/>
        </w:rPr>
        <w:t>本年新增</w:t>
      </w:r>
      <w:r>
        <w:rPr>
          <w:rFonts w:hint="eastAsia" w:ascii="仿宋_GB2312" w:eastAsia="仿宋_GB2312"/>
          <w:b w:val="0"/>
          <w:kern w:val="21"/>
          <w:sz w:val="32"/>
          <w:szCs w:val="32"/>
          <w:highlight w:val="none"/>
          <w:u w:val="none"/>
          <w:lang w:eastAsia="zh-CN"/>
        </w:rPr>
        <w:t>退休人员</w:t>
      </w:r>
      <w:r>
        <w:rPr>
          <w:rFonts w:hint="eastAsia" w:ascii="仿宋_GB2312" w:eastAsia="仿宋_GB2312"/>
          <w:b w:val="0"/>
          <w:kern w:val="21"/>
          <w:sz w:val="32"/>
          <w:szCs w:val="32"/>
          <w:highlight w:val="none"/>
          <w:u w:val="none"/>
          <w:lang w:val="en-US" w:eastAsia="zh-CN"/>
        </w:rPr>
        <w:t>较上年</w:t>
      </w:r>
      <w:r>
        <w:rPr>
          <w:rFonts w:hint="eastAsia" w:ascii="仿宋_GB2312" w:eastAsia="仿宋_GB2312"/>
          <w:b w:val="0"/>
          <w:kern w:val="21"/>
          <w:sz w:val="32"/>
          <w:szCs w:val="32"/>
          <w:highlight w:val="none"/>
          <w:u w:val="none"/>
          <w:lang w:eastAsia="zh-CN"/>
        </w:rPr>
        <w:t>减少</w:t>
      </w:r>
      <w:r>
        <w:rPr>
          <w:rFonts w:hint="eastAsia" w:ascii="仿宋_GB2312" w:eastAsia="仿宋_GB2312"/>
          <w:b w:val="0"/>
          <w:kern w:val="21"/>
          <w:sz w:val="32"/>
          <w:szCs w:val="32"/>
          <w:u w:val="none"/>
          <w:lang w:eastAsia="zh-CN"/>
        </w:rPr>
        <w:t>，职业年金</w:t>
      </w:r>
      <w:r>
        <w:rPr>
          <w:rFonts w:hint="eastAsia" w:ascii="仿宋_GB2312" w:eastAsia="仿宋_GB2312"/>
          <w:b w:val="0"/>
          <w:kern w:val="21"/>
          <w:sz w:val="32"/>
          <w:szCs w:val="32"/>
          <w:u w:val="none"/>
          <w:lang w:val="en-US" w:eastAsia="zh-CN"/>
        </w:rPr>
        <w:t>缴费支出</w:t>
      </w:r>
      <w:r>
        <w:rPr>
          <w:rFonts w:hint="eastAsia" w:ascii="仿宋_GB2312" w:eastAsia="仿宋_GB2312"/>
          <w:b w:val="0"/>
          <w:kern w:val="21"/>
          <w:sz w:val="32"/>
          <w:szCs w:val="32"/>
          <w:u w:val="none"/>
          <w:lang w:eastAsia="zh-CN"/>
        </w:rPr>
        <w:t>减少。</w:t>
      </w:r>
    </w:p>
    <w:p w14:paraId="532F7B0B">
      <w:pPr>
        <w:keepNext w:val="0"/>
        <w:keepLines w:val="0"/>
        <w:pageBreakBefore w:val="0"/>
        <w:widowControl w:val="0"/>
        <w:numPr>
          <w:ilvl w:val="0"/>
          <w:numId w:val="1"/>
        </w:numPr>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卫生健康支出（类）行政事业单位医疗（款）事业单位医疗（项）：支出决算数为20.45万元，比上年决算减少3.34万元，下降14.04%，主要原因是：</w:t>
      </w:r>
      <w:r>
        <w:rPr>
          <w:rFonts w:hint="eastAsia" w:ascii="仿宋_GB2312" w:eastAsia="仿宋_GB2312"/>
          <w:b w:val="0"/>
          <w:kern w:val="21"/>
          <w:sz w:val="32"/>
          <w:szCs w:val="32"/>
          <w:u w:val="none"/>
          <w:lang w:eastAsia="zh-CN"/>
        </w:rPr>
        <w:t>在职人员减少，</w:t>
      </w:r>
      <w:r>
        <w:rPr>
          <w:rFonts w:ascii="仿宋_GB2312" w:eastAsia="仿宋_GB2312"/>
          <w:b w:val="0"/>
          <w:kern w:val="21"/>
          <w:sz w:val="32"/>
          <w:szCs w:val="32"/>
          <w:u w:val="none"/>
        </w:rPr>
        <w:t>事业单位医疗</w:t>
      </w:r>
      <w:r>
        <w:rPr>
          <w:rFonts w:hint="eastAsia" w:ascii="仿宋_GB2312" w:eastAsia="仿宋_GB2312"/>
          <w:b w:val="0"/>
          <w:kern w:val="21"/>
          <w:sz w:val="32"/>
          <w:szCs w:val="32"/>
          <w:u w:val="none"/>
          <w:lang w:eastAsia="zh-CN"/>
        </w:rPr>
        <w:t>支出减少。</w:t>
      </w:r>
    </w:p>
    <w:p w14:paraId="1C707D60">
      <w:pPr>
        <w:keepNext w:val="0"/>
        <w:keepLines w:val="0"/>
        <w:pageBreakBefore w:val="0"/>
        <w:widowControl w:val="0"/>
        <w:numPr>
          <w:ilvl w:val="0"/>
          <w:numId w:val="1"/>
        </w:numPr>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卫生健康支出（类）行政事业单位医疗（款）公务员医疗补助（项）：支出决算数为18.86万元，比上年决算减少1.20万元，下降5.98%，主要原因是：</w:t>
      </w:r>
      <w:r>
        <w:rPr>
          <w:rFonts w:hint="eastAsia" w:ascii="仿宋_GB2312" w:eastAsia="仿宋_GB2312"/>
          <w:b w:val="0"/>
          <w:kern w:val="21"/>
          <w:sz w:val="32"/>
          <w:szCs w:val="32"/>
          <w:u w:val="none"/>
          <w:lang w:eastAsia="zh-CN"/>
        </w:rPr>
        <w:t>在职人员减少，</w:t>
      </w:r>
      <w:r>
        <w:rPr>
          <w:rFonts w:ascii="仿宋_GB2312" w:eastAsia="仿宋_GB2312"/>
          <w:b w:val="0"/>
          <w:kern w:val="21"/>
          <w:sz w:val="32"/>
          <w:szCs w:val="32"/>
          <w:u w:val="none"/>
        </w:rPr>
        <w:t>公务员医疗补助</w:t>
      </w:r>
      <w:r>
        <w:rPr>
          <w:rFonts w:hint="eastAsia" w:ascii="仿宋_GB2312" w:eastAsia="仿宋_GB2312"/>
          <w:b w:val="0"/>
          <w:kern w:val="21"/>
          <w:sz w:val="32"/>
          <w:szCs w:val="32"/>
          <w:u w:val="none"/>
          <w:lang w:eastAsia="zh-CN"/>
        </w:rPr>
        <w:t>支出减少。</w:t>
      </w:r>
    </w:p>
    <w:p w14:paraId="65DC3F78">
      <w:pPr>
        <w:keepNext w:val="0"/>
        <w:keepLines w:val="0"/>
        <w:pageBreakBefore w:val="0"/>
        <w:widowControl w:val="0"/>
        <w:numPr>
          <w:ilvl w:val="0"/>
          <w:numId w:val="1"/>
        </w:numPr>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节能环保支出（类）能源节约利用（款）能源节约利用（项）：支出决算数为0.00万元，比上年决算减少54.75万元，下降100.00%，主要原因是：</w:t>
      </w:r>
      <w:r>
        <w:rPr>
          <w:rFonts w:hint="eastAsia" w:ascii="仿宋_GB2312" w:eastAsia="仿宋_GB2312"/>
          <w:b w:val="0"/>
          <w:kern w:val="21"/>
          <w:sz w:val="32"/>
          <w:szCs w:val="32"/>
          <w:u w:val="none"/>
          <w:lang w:val="en-US" w:eastAsia="zh-CN"/>
        </w:rPr>
        <w:t>2023年支出节能改造项目剩余资金，本年无此科目支出。</w:t>
      </w:r>
    </w:p>
    <w:p w14:paraId="1A6CAA9A">
      <w:pPr>
        <w:keepNext w:val="0"/>
        <w:keepLines w:val="0"/>
        <w:pageBreakBefore w:val="0"/>
        <w:widowControl w:val="0"/>
        <w:numPr>
          <w:ilvl w:val="0"/>
          <w:numId w:val="1"/>
        </w:numPr>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住房保障支出（类）住房改革支出（款）住房公积金（项）：支出决算数为32.91万元，比上年决算减少1.48万元，下降4.30%，主要原因是：</w:t>
      </w:r>
      <w:r>
        <w:rPr>
          <w:rFonts w:hint="eastAsia" w:ascii="仿宋_GB2312" w:eastAsia="仿宋_GB2312"/>
          <w:b w:val="0"/>
          <w:kern w:val="21"/>
          <w:sz w:val="32"/>
          <w:szCs w:val="32"/>
          <w:u w:val="none"/>
          <w:lang w:eastAsia="zh-CN"/>
        </w:rPr>
        <w:t>在职人员减少，</w:t>
      </w:r>
      <w:r>
        <w:rPr>
          <w:rFonts w:ascii="仿宋_GB2312" w:eastAsia="仿宋_GB2312"/>
          <w:b w:val="0"/>
          <w:kern w:val="21"/>
          <w:sz w:val="32"/>
          <w:szCs w:val="32"/>
          <w:u w:val="none"/>
        </w:rPr>
        <w:t>住房公积金</w:t>
      </w:r>
      <w:r>
        <w:rPr>
          <w:rFonts w:hint="eastAsia" w:ascii="仿宋_GB2312" w:eastAsia="仿宋_GB2312"/>
          <w:b w:val="0"/>
          <w:kern w:val="21"/>
          <w:sz w:val="32"/>
          <w:szCs w:val="32"/>
          <w:u w:val="none"/>
          <w:lang w:eastAsia="zh-CN"/>
        </w:rPr>
        <w:t>支出减少。</w:t>
      </w:r>
    </w:p>
    <w:p w14:paraId="4F8567D2">
      <w:pPr>
        <w:keepNext w:val="0"/>
        <w:keepLines w:val="0"/>
        <w:pageBreakBefore w:val="0"/>
        <w:widowControl w:val="0"/>
        <w:numPr>
          <w:ilvl w:val="0"/>
          <w:numId w:val="1"/>
        </w:numPr>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粮油物资储备支出（类）粮油物资事务（款）机关服务（项）：支出决算数为558.92万元，比上年决算增加104.41万元，增长22.97%，主要原因是：</w:t>
      </w:r>
      <w:r>
        <w:rPr>
          <w:rFonts w:hint="eastAsia" w:ascii="仿宋_GB2312" w:eastAsia="仿宋_GB2312"/>
          <w:b w:val="0"/>
          <w:kern w:val="21"/>
          <w:sz w:val="32"/>
          <w:szCs w:val="32"/>
          <w:u w:val="none"/>
          <w:lang w:eastAsia="zh-CN"/>
        </w:rPr>
        <w:t>本年</w:t>
      </w:r>
      <w:r>
        <w:rPr>
          <w:rFonts w:hint="eastAsia" w:ascii="仿宋_GB2312" w:eastAsia="仿宋_GB2312"/>
          <w:b w:val="0"/>
          <w:kern w:val="21"/>
          <w:sz w:val="32"/>
          <w:szCs w:val="32"/>
          <w:u w:val="none"/>
          <w:lang w:val="en-US" w:eastAsia="zh-CN"/>
        </w:rPr>
        <w:t>增加办公用房</w:t>
      </w:r>
      <w:r>
        <w:rPr>
          <w:rFonts w:hint="eastAsia" w:ascii="仿宋_GB2312" w:eastAsia="仿宋_GB2312"/>
          <w:b w:val="0"/>
          <w:kern w:val="21"/>
          <w:sz w:val="32"/>
          <w:szCs w:val="32"/>
          <w:u w:val="none"/>
        </w:rPr>
        <w:t>维修改造项目</w:t>
      </w:r>
      <w:r>
        <w:rPr>
          <w:rFonts w:hint="eastAsia" w:ascii="仿宋_GB2312" w:hAnsi="仿宋" w:eastAsia="仿宋_GB2312" w:cs="仿宋"/>
          <w:color w:val="000000"/>
          <w:kern w:val="21"/>
          <w:sz w:val="32"/>
          <w:szCs w:val="32"/>
          <w:highlight w:val="none"/>
          <w:u w:val="none"/>
          <w:lang w:val="en-US" w:eastAsia="zh-CN"/>
        </w:rPr>
        <w:t>资金，机关</w:t>
      </w:r>
      <w:r>
        <w:rPr>
          <w:rFonts w:ascii="仿宋_GB2312" w:eastAsia="仿宋_GB2312"/>
          <w:b w:val="0"/>
          <w:kern w:val="21"/>
          <w:sz w:val="32"/>
          <w:szCs w:val="32"/>
          <w:u w:val="none"/>
        </w:rPr>
        <w:t>服务</w:t>
      </w:r>
      <w:r>
        <w:rPr>
          <w:rFonts w:hint="eastAsia" w:ascii="仿宋_GB2312" w:eastAsia="仿宋_GB2312"/>
          <w:b w:val="0"/>
          <w:kern w:val="21"/>
          <w:sz w:val="32"/>
          <w:szCs w:val="32"/>
          <w:u w:val="none"/>
          <w:lang w:eastAsia="zh-CN"/>
        </w:rPr>
        <w:t>支出增加。</w:t>
      </w:r>
      <w:bookmarkStart w:id="0" w:name="_GoBack"/>
      <w:bookmarkEnd w:id="0"/>
    </w:p>
    <w:p w14:paraId="0AA37A89">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u w:val="none"/>
        </w:rPr>
      </w:pPr>
      <w:r>
        <w:rPr>
          <w:rFonts w:ascii="黑体" w:eastAsia="黑体"/>
          <w:b w:val="0"/>
          <w:kern w:val="21"/>
          <w:sz w:val="32"/>
          <w:szCs w:val="32"/>
          <w:u w:val="none"/>
        </w:rPr>
        <w:t>六、一般公共预算财政拨款基本支出决算情况说明</w:t>
      </w:r>
    </w:p>
    <w:p w14:paraId="03358A2A">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2024年度一般公共预算财政拨款基本支出612.99万元，其中：人员经费575.84万元，包括：基本工资、津贴补贴、奖金、绩效工资、机关事业单位基本养老保险缴费、职业年金缴费、职工基本医疗保险缴费、公务员医疗补助缴费、其他社会保障缴费、住房公积金、离休费、退休费、抚恤金、生活补助和其他对个人和家庭的补助。</w:t>
      </w:r>
    </w:p>
    <w:p w14:paraId="6BECF856">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公用经费37.15万元，包括：办公费、水费、电费、邮电费、取暖费、物业管理费、差旅费、维修（护）费、委托业务费、工会经费、福利费、公务用车运行维护费和办公设备购置。</w:t>
      </w:r>
    </w:p>
    <w:p w14:paraId="088616E8">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u w:val="none"/>
        </w:rPr>
      </w:pPr>
      <w:r>
        <w:rPr>
          <w:rFonts w:ascii="黑体" w:eastAsia="黑体"/>
          <w:b w:val="0"/>
          <w:kern w:val="21"/>
          <w:sz w:val="32"/>
          <w:szCs w:val="32"/>
          <w:u w:val="none"/>
        </w:rPr>
        <w:t>七、政府性基金预算财政拨款收入支出决算情况说明</w:t>
      </w:r>
    </w:p>
    <w:p w14:paraId="374FD63C">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本单位本年度无政府性基金预算财政拨款收入支出及结转和结余政府性基金预算财政拨款收入支出决算表为空表。</w:t>
      </w:r>
    </w:p>
    <w:p w14:paraId="7D47BEFB">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u w:val="none"/>
        </w:rPr>
      </w:pPr>
      <w:r>
        <w:rPr>
          <w:rFonts w:ascii="黑体" w:eastAsia="黑体"/>
          <w:b w:val="0"/>
          <w:kern w:val="21"/>
          <w:sz w:val="32"/>
          <w:szCs w:val="32"/>
          <w:u w:val="none"/>
        </w:rPr>
        <w:t>八、国有资本经营预算财政拨款收入支出决算情况说明</w:t>
      </w:r>
    </w:p>
    <w:p w14:paraId="23394ADA">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本单位本年度无国有资本经营预算财政拨款收入、支出及结转和结余，国有资本经营预算财政拨款收入支出决算表为空表。</w:t>
      </w:r>
    </w:p>
    <w:p w14:paraId="7B6812C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u w:val="none"/>
        </w:rPr>
      </w:pPr>
      <w:r>
        <w:rPr>
          <w:rFonts w:ascii="黑体" w:eastAsia="黑体"/>
          <w:b w:val="0"/>
          <w:kern w:val="21"/>
          <w:sz w:val="32"/>
          <w:szCs w:val="32"/>
          <w:u w:val="none"/>
        </w:rPr>
        <w:t>九、财政拨款</w:t>
      </w:r>
      <w:r>
        <w:rPr>
          <w:rFonts w:hint="eastAsia" w:ascii="黑体" w:eastAsia="黑体"/>
          <w:b w:val="0"/>
          <w:kern w:val="21"/>
          <w:sz w:val="32"/>
          <w:szCs w:val="32"/>
          <w:u w:val="none"/>
          <w:lang w:eastAsia="zh-CN"/>
        </w:rPr>
        <w:t>“</w:t>
      </w:r>
      <w:r>
        <w:rPr>
          <w:rFonts w:ascii="黑体" w:eastAsia="黑体"/>
          <w:b w:val="0"/>
          <w:kern w:val="21"/>
          <w:sz w:val="32"/>
          <w:szCs w:val="32"/>
          <w:u w:val="none"/>
        </w:rPr>
        <w:t>三公</w:t>
      </w:r>
      <w:r>
        <w:rPr>
          <w:rFonts w:hint="eastAsia" w:ascii="黑体" w:eastAsia="黑体"/>
          <w:b w:val="0"/>
          <w:kern w:val="21"/>
          <w:sz w:val="32"/>
          <w:szCs w:val="32"/>
          <w:u w:val="none"/>
          <w:lang w:eastAsia="zh-CN"/>
        </w:rPr>
        <w:t>”</w:t>
      </w:r>
      <w:r>
        <w:rPr>
          <w:rFonts w:ascii="黑体" w:eastAsia="黑体"/>
          <w:b w:val="0"/>
          <w:kern w:val="21"/>
          <w:sz w:val="32"/>
          <w:szCs w:val="32"/>
          <w:u w:val="none"/>
        </w:rPr>
        <w:t>经费支出决算情况说明</w:t>
      </w:r>
    </w:p>
    <w:p w14:paraId="4FFE3722">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2024年度财政拨款</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三公</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经费支出2.50万元，比上年增加0.00万元，增长0.00%，主要原因是：</w:t>
      </w:r>
      <w:r>
        <w:rPr>
          <w:rFonts w:hint="eastAsia" w:ascii="仿宋_GB2312" w:eastAsia="仿宋_GB2312"/>
          <w:b w:val="0"/>
          <w:kern w:val="21"/>
          <w:sz w:val="32"/>
          <w:szCs w:val="32"/>
          <w:u w:val="none"/>
          <w:lang w:eastAsia="zh-CN"/>
        </w:rPr>
        <w:t>厉行节约，严格控制“</w:t>
      </w:r>
      <w:r>
        <w:rPr>
          <w:rFonts w:ascii="仿宋_GB2312" w:eastAsia="仿宋_GB2312"/>
          <w:b w:val="0"/>
          <w:kern w:val="21"/>
          <w:sz w:val="32"/>
          <w:szCs w:val="32"/>
          <w:u w:val="none"/>
        </w:rPr>
        <w:t>三公</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经费支出。其中：因公出国（境）费支出0.00万元,占0.00%，比上年增加0.00万元，增长0.00%，主要原因是：</w:t>
      </w:r>
      <w:r>
        <w:rPr>
          <w:rFonts w:hint="eastAsia" w:ascii="仿宋_GB2312" w:eastAsia="仿宋_GB2312"/>
          <w:b w:val="0"/>
          <w:kern w:val="21"/>
          <w:sz w:val="32"/>
          <w:szCs w:val="32"/>
          <w:u w:val="none"/>
          <w:lang w:val="en-US" w:eastAsia="zh-CN"/>
        </w:rPr>
        <w:t>2024年与2023年均无</w:t>
      </w:r>
      <w:r>
        <w:rPr>
          <w:rFonts w:ascii="仿宋_GB2312" w:eastAsia="仿宋_GB2312"/>
          <w:b w:val="0"/>
          <w:kern w:val="21"/>
          <w:sz w:val="32"/>
          <w:szCs w:val="32"/>
          <w:u w:val="none"/>
        </w:rPr>
        <w:t>因公出国（境）</w:t>
      </w:r>
      <w:r>
        <w:rPr>
          <w:rFonts w:hint="eastAsia" w:ascii="仿宋_GB2312" w:eastAsia="仿宋_GB2312"/>
          <w:b w:val="0"/>
          <w:kern w:val="21"/>
          <w:sz w:val="32"/>
          <w:szCs w:val="32"/>
          <w:u w:val="none"/>
          <w:lang w:eastAsia="zh-CN"/>
        </w:rPr>
        <w:t>业务</w:t>
      </w:r>
      <w:r>
        <w:rPr>
          <w:rFonts w:ascii="仿宋_GB2312" w:eastAsia="仿宋_GB2312"/>
          <w:b w:val="0"/>
          <w:kern w:val="21"/>
          <w:sz w:val="32"/>
          <w:szCs w:val="32"/>
          <w:u w:val="none"/>
        </w:rPr>
        <w:t>；公务用车购置及运行维护费支出2.50万元，占100.00%，比上年增加0.00万元，增长0.00%，主要原因是：</w:t>
      </w:r>
      <w:r>
        <w:rPr>
          <w:rFonts w:hint="eastAsia" w:ascii="仿宋_GB2312" w:eastAsia="仿宋_GB2312"/>
          <w:b w:val="0"/>
          <w:kern w:val="21"/>
          <w:sz w:val="32"/>
          <w:szCs w:val="32"/>
          <w:u w:val="none"/>
          <w:lang w:eastAsia="zh-CN"/>
        </w:rPr>
        <w:t>厉行节约，严格控制公车运行</w:t>
      </w:r>
      <w:r>
        <w:rPr>
          <w:rFonts w:ascii="仿宋_GB2312" w:eastAsia="仿宋_GB2312"/>
          <w:b w:val="0"/>
          <w:kern w:val="21"/>
          <w:sz w:val="32"/>
          <w:szCs w:val="32"/>
          <w:u w:val="none"/>
        </w:rPr>
        <w:t>经费支出；公务接待费支出0.00万元，占0.00%，比上年增加0.00万元，增长0.00%，主要原因是：</w:t>
      </w:r>
      <w:r>
        <w:rPr>
          <w:rFonts w:hint="eastAsia" w:ascii="仿宋_GB2312" w:eastAsia="仿宋_GB2312"/>
          <w:b w:val="0"/>
          <w:kern w:val="21"/>
          <w:sz w:val="32"/>
          <w:szCs w:val="32"/>
          <w:u w:val="none"/>
          <w:lang w:val="en-US" w:eastAsia="zh-CN"/>
        </w:rPr>
        <w:t>2024年与2023年均无</w:t>
      </w:r>
      <w:r>
        <w:rPr>
          <w:rFonts w:ascii="仿宋_GB2312" w:eastAsia="仿宋_GB2312"/>
          <w:b w:val="0"/>
          <w:kern w:val="21"/>
          <w:sz w:val="32"/>
          <w:szCs w:val="32"/>
          <w:u w:val="none"/>
        </w:rPr>
        <w:t>公务接待。</w:t>
      </w:r>
    </w:p>
    <w:p w14:paraId="76DB33E1">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具体情况如下：</w:t>
      </w:r>
    </w:p>
    <w:p w14:paraId="36FC0187">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因公出国（境）费支出0.00万元，开支内容包括</w:t>
      </w:r>
      <w:r>
        <w:rPr>
          <w:rFonts w:hint="eastAsia" w:ascii="仿宋_GB2312" w:eastAsia="仿宋_GB2312"/>
          <w:b w:val="0"/>
          <w:kern w:val="21"/>
          <w:sz w:val="32"/>
          <w:szCs w:val="32"/>
          <w:u w:val="none"/>
          <w:lang w:eastAsia="zh-CN"/>
        </w:rPr>
        <w:t>无</w:t>
      </w:r>
      <w:r>
        <w:rPr>
          <w:rFonts w:ascii="仿宋_GB2312" w:eastAsia="仿宋_GB2312"/>
          <w:b w:val="0"/>
          <w:kern w:val="21"/>
          <w:sz w:val="32"/>
          <w:szCs w:val="32"/>
          <w:u w:val="none"/>
        </w:rPr>
        <w:t>因公出国（境）</w:t>
      </w:r>
      <w:r>
        <w:rPr>
          <w:rFonts w:hint="eastAsia" w:ascii="仿宋_GB2312" w:eastAsia="仿宋_GB2312"/>
          <w:b w:val="0"/>
          <w:kern w:val="21"/>
          <w:sz w:val="32"/>
          <w:szCs w:val="32"/>
          <w:u w:val="none"/>
          <w:lang w:eastAsia="zh-CN"/>
        </w:rPr>
        <w:t>业务</w:t>
      </w:r>
      <w:r>
        <w:rPr>
          <w:rFonts w:ascii="仿宋_GB2312" w:eastAsia="仿宋_GB2312"/>
          <w:b w:val="0"/>
          <w:kern w:val="21"/>
          <w:sz w:val="32"/>
          <w:szCs w:val="32"/>
          <w:u w:val="none"/>
        </w:rPr>
        <w:t>。单位全年安排的因公出国（境）团组0个，因公出国（境）0人次。</w:t>
      </w:r>
    </w:p>
    <w:p w14:paraId="501285E9">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公务用车购置及运行维护费2.50万元，其中：公务用车购置费0.00万元，公务用车运行维护费2.50万元。公务用车运行维护费开支内容包括</w:t>
      </w:r>
      <w:r>
        <w:rPr>
          <w:rFonts w:hint="eastAsia" w:ascii="仿宋_GB2312" w:eastAsia="仿宋_GB2312"/>
          <w:b w:val="0"/>
          <w:kern w:val="21"/>
          <w:sz w:val="32"/>
          <w:szCs w:val="32"/>
          <w:u w:val="none"/>
          <w:lang w:eastAsia="zh-CN"/>
        </w:rPr>
        <w:t>车辆维修保养、燃油费</w:t>
      </w:r>
      <w:r>
        <w:rPr>
          <w:rFonts w:ascii="仿宋_GB2312" w:eastAsia="仿宋_GB2312"/>
          <w:b w:val="0"/>
          <w:kern w:val="21"/>
          <w:sz w:val="32"/>
          <w:szCs w:val="32"/>
          <w:u w:val="none"/>
        </w:rPr>
        <w:t>。公务用车购置数0辆，公务用车保有量1辆。国有资产占用情况中固定资产车辆1辆，与公务用车保有量差异原因是：固定资产车辆与公务用车保有量</w:t>
      </w:r>
      <w:r>
        <w:rPr>
          <w:rFonts w:hint="eastAsia" w:ascii="仿宋_GB2312" w:eastAsia="仿宋_GB2312"/>
          <w:b w:val="0"/>
          <w:kern w:val="21"/>
          <w:sz w:val="32"/>
          <w:szCs w:val="32"/>
          <w:u w:val="none"/>
          <w:lang w:eastAsia="zh-CN"/>
        </w:rPr>
        <w:t>无</w:t>
      </w:r>
      <w:r>
        <w:rPr>
          <w:rFonts w:ascii="仿宋_GB2312" w:eastAsia="仿宋_GB2312"/>
          <w:b w:val="0"/>
          <w:kern w:val="21"/>
          <w:sz w:val="32"/>
          <w:szCs w:val="32"/>
          <w:u w:val="none"/>
        </w:rPr>
        <w:t>差异。</w:t>
      </w:r>
    </w:p>
    <w:p w14:paraId="6D5E29D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公务接待费0.00万元，开支内容包括</w:t>
      </w:r>
      <w:r>
        <w:rPr>
          <w:rFonts w:hint="eastAsia" w:ascii="仿宋_GB2312" w:eastAsia="仿宋_GB2312"/>
          <w:b w:val="0"/>
          <w:kern w:val="21"/>
          <w:sz w:val="32"/>
          <w:szCs w:val="32"/>
          <w:u w:val="none"/>
          <w:lang w:eastAsia="zh-CN"/>
        </w:rPr>
        <w:t>无公务接待</w:t>
      </w:r>
      <w:r>
        <w:rPr>
          <w:rFonts w:ascii="仿宋_GB2312" w:eastAsia="仿宋_GB2312"/>
          <w:b w:val="0"/>
          <w:kern w:val="21"/>
          <w:sz w:val="32"/>
          <w:szCs w:val="32"/>
          <w:u w:val="none"/>
        </w:rPr>
        <w:t>。单位全年安排的国内公务接待0批次，0人次。</w:t>
      </w:r>
    </w:p>
    <w:p w14:paraId="05AE54A7">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与全年预算相比，财政拨款</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三公</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经费支出全年预算数2.50万元，决算数2.50万元，预决算差异率0.00%，主要原因是：</w:t>
      </w:r>
      <w:r>
        <w:rPr>
          <w:rFonts w:hint="eastAsia" w:ascii="仿宋_GB2312" w:eastAsia="仿宋_GB2312"/>
          <w:b w:val="0"/>
          <w:kern w:val="21"/>
          <w:sz w:val="32"/>
          <w:szCs w:val="32"/>
          <w:u w:val="none"/>
          <w:lang w:eastAsia="zh-CN"/>
        </w:rPr>
        <w:t>厉行节约，严格控制“</w:t>
      </w:r>
      <w:r>
        <w:rPr>
          <w:rFonts w:ascii="仿宋_GB2312" w:eastAsia="仿宋_GB2312"/>
          <w:b w:val="0"/>
          <w:kern w:val="21"/>
          <w:sz w:val="32"/>
          <w:szCs w:val="32"/>
          <w:u w:val="none"/>
        </w:rPr>
        <w:t>三公</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经费支出</w:t>
      </w:r>
      <w:r>
        <w:rPr>
          <w:rFonts w:hint="eastAsia" w:ascii="仿宋_GB2312" w:eastAsia="仿宋_GB2312"/>
          <w:b w:val="0"/>
          <w:kern w:val="21"/>
          <w:sz w:val="32"/>
          <w:szCs w:val="32"/>
          <w:u w:val="none"/>
          <w:lang w:eastAsia="zh-CN"/>
        </w:rPr>
        <w:t>，预决算一致，无差异</w:t>
      </w:r>
      <w:r>
        <w:rPr>
          <w:rFonts w:ascii="仿宋_GB2312" w:eastAsia="仿宋_GB2312"/>
          <w:b w:val="0"/>
          <w:kern w:val="21"/>
          <w:sz w:val="32"/>
          <w:szCs w:val="32"/>
          <w:u w:val="none"/>
        </w:rPr>
        <w:t>。其中：因公出国（境）费全年预算数0.00万元，决算数0.00万元，预决算差异率0.00%，主要原因是：</w:t>
      </w:r>
      <w:r>
        <w:rPr>
          <w:rFonts w:hint="eastAsia" w:ascii="仿宋_GB2312" w:hAnsi="仿宋" w:eastAsia="仿宋_GB2312" w:cs="仿宋"/>
          <w:bCs/>
          <w:color w:val="000000"/>
          <w:kern w:val="21"/>
          <w:sz w:val="32"/>
          <w:szCs w:val="32"/>
          <w:u w:val="none"/>
        </w:rPr>
        <w:t>因公出国（境）费用年初预算未安排，本年实际也未发生相关费用</w:t>
      </w:r>
      <w:r>
        <w:rPr>
          <w:rFonts w:ascii="仿宋_GB2312" w:eastAsia="仿宋_GB2312"/>
          <w:b w:val="0"/>
          <w:kern w:val="21"/>
          <w:sz w:val="32"/>
          <w:szCs w:val="32"/>
          <w:u w:val="none"/>
        </w:rPr>
        <w:t>。公务用车购置费全年预算数0.00万元，决算数0.00万元，预决算差异率0.00%，主要原因是：公务用车购置</w:t>
      </w:r>
      <w:r>
        <w:rPr>
          <w:rFonts w:hint="eastAsia" w:ascii="仿宋_GB2312" w:hAnsi="仿宋" w:eastAsia="仿宋_GB2312" w:cs="仿宋"/>
          <w:bCs/>
          <w:color w:val="000000"/>
          <w:kern w:val="21"/>
          <w:sz w:val="32"/>
          <w:szCs w:val="32"/>
          <w:u w:val="none"/>
        </w:rPr>
        <w:t>费用年初预算未安排，本年实际也未发生相关费用</w:t>
      </w:r>
      <w:r>
        <w:rPr>
          <w:rFonts w:ascii="仿宋_GB2312" w:eastAsia="仿宋_GB2312"/>
          <w:b w:val="0"/>
          <w:kern w:val="21"/>
          <w:sz w:val="32"/>
          <w:szCs w:val="32"/>
          <w:u w:val="none"/>
        </w:rPr>
        <w:t>。公务用车运行维护费全年预算数2.50万元，决算数2.50万元，预决算差异率0.00%，主要原因是：</w:t>
      </w:r>
      <w:r>
        <w:rPr>
          <w:rFonts w:hint="eastAsia" w:ascii="仿宋_GB2312" w:eastAsia="仿宋_GB2312"/>
          <w:b w:val="0"/>
          <w:kern w:val="21"/>
          <w:sz w:val="32"/>
          <w:szCs w:val="32"/>
          <w:u w:val="none"/>
          <w:lang w:eastAsia="zh-CN"/>
        </w:rPr>
        <w:t>厉行节约，严格控制公车运行</w:t>
      </w:r>
      <w:r>
        <w:rPr>
          <w:rFonts w:ascii="仿宋_GB2312" w:eastAsia="仿宋_GB2312"/>
          <w:b w:val="0"/>
          <w:kern w:val="21"/>
          <w:sz w:val="32"/>
          <w:szCs w:val="32"/>
          <w:u w:val="none"/>
        </w:rPr>
        <w:t>经费支出</w:t>
      </w:r>
      <w:r>
        <w:rPr>
          <w:rFonts w:hint="eastAsia" w:ascii="仿宋_GB2312" w:eastAsia="仿宋_GB2312"/>
          <w:b w:val="0"/>
          <w:kern w:val="21"/>
          <w:sz w:val="32"/>
          <w:szCs w:val="32"/>
          <w:u w:val="none"/>
          <w:lang w:eastAsia="zh-CN"/>
        </w:rPr>
        <w:t>，预决算一致，无差异</w:t>
      </w:r>
      <w:r>
        <w:rPr>
          <w:rFonts w:ascii="仿宋_GB2312" w:eastAsia="仿宋_GB2312"/>
          <w:b w:val="0"/>
          <w:kern w:val="21"/>
          <w:sz w:val="32"/>
          <w:szCs w:val="32"/>
          <w:u w:val="none"/>
        </w:rPr>
        <w:t>。公务接待费全年预算数0.00万元，决算数0.00万元，预决算差异率0.00%，主要原因是：</w:t>
      </w:r>
      <w:r>
        <w:rPr>
          <w:rFonts w:hint="eastAsia" w:ascii="仿宋_GB2312" w:hAnsi="仿宋" w:eastAsia="仿宋_GB2312" w:cs="仿宋"/>
          <w:bCs/>
          <w:color w:val="000000"/>
          <w:kern w:val="21"/>
          <w:sz w:val="32"/>
          <w:szCs w:val="32"/>
          <w:u w:val="none"/>
          <w:lang w:eastAsia="zh-CN"/>
        </w:rPr>
        <w:t>公务接待</w:t>
      </w:r>
      <w:r>
        <w:rPr>
          <w:rFonts w:hint="eastAsia" w:ascii="仿宋_GB2312" w:hAnsi="仿宋" w:eastAsia="仿宋_GB2312" w:cs="仿宋"/>
          <w:bCs/>
          <w:color w:val="000000"/>
          <w:kern w:val="21"/>
          <w:sz w:val="32"/>
          <w:szCs w:val="32"/>
          <w:u w:val="none"/>
        </w:rPr>
        <w:t>费用年初预算未安排，本年实际也未发生相关费用</w:t>
      </w:r>
      <w:r>
        <w:rPr>
          <w:rFonts w:ascii="仿宋_GB2312" w:eastAsia="仿宋_GB2312"/>
          <w:b w:val="0"/>
          <w:kern w:val="21"/>
          <w:sz w:val="32"/>
          <w:szCs w:val="32"/>
          <w:u w:val="none"/>
        </w:rPr>
        <w:t>。</w:t>
      </w:r>
    </w:p>
    <w:p w14:paraId="477FE3A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u w:val="none"/>
        </w:rPr>
      </w:pPr>
      <w:r>
        <w:rPr>
          <w:rFonts w:ascii="黑体" w:eastAsia="黑体"/>
          <w:b w:val="0"/>
          <w:kern w:val="21"/>
          <w:sz w:val="32"/>
          <w:szCs w:val="32"/>
          <w:u w:val="none"/>
        </w:rPr>
        <w:t>十、其他重要事项的情况说明</w:t>
      </w:r>
    </w:p>
    <w:p w14:paraId="4DE5F4F9">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b/>
          <w:bCs w:val="0"/>
          <w:kern w:val="21"/>
          <w:sz w:val="32"/>
          <w:szCs w:val="32"/>
          <w:u w:val="none"/>
        </w:rPr>
      </w:pPr>
      <w:r>
        <w:rPr>
          <w:rFonts w:ascii="仿宋_GB2312" w:eastAsia="仿宋_GB2312"/>
          <w:b/>
          <w:bCs w:val="0"/>
          <w:kern w:val="21"/>
          <w:sz w:val="32"/>
          <w:szCs w:val="32"/>
          <w:u w:val="none"/>
        </w:rPr>
        <w:t>（一）机关运行经费及公用经费支出情况</w:t>
      </w:r>
    </w:p>
    <w:p w14:paraId="3217CF4F">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2024年度新疆维吾尔自治区粮食和物资储备局机关服务中心</w:t>
      </w:r>
      <w:r>
        <w:rPr>
          <w:rFonts w:hint="eastAsia" w:ascii="仿宋_GB2312" w:eastAsia="仿宋_GB2312"/>
          <w:b w:val="0"/>
          <w:kern w:val="21"/>
          <w:sz w:val="32"/>
          <w:szCs w:val="32"/>
          <w:u w:val="none"/>
          <w:lang w:eastAsia="zh-CN"/>
        </w:rPr>
        <w:t>（</w:t>
      </w:r>
      <w:r>
        <w:rPr>
          <w:rFonts w:hint="eastAsia" w:ascii="仿宋_GB2312" w:eastAsia="仿宋_GB2312"/>
          <w:b w:val="0"/>
          <w:kern w:val="21"/>
          <w:sz w:val="32"/>
          <w:szCs w:val="32"/>
          <w:u w:val="none"/>
          <w:lang w:val="en-US" w:eastAsia="zh-CN"/>
        </w:rPr>
        <w:t>事业单位</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公用经费支出37.15万元，比上年减少2.72万元，下降6.82%，主要原因是</w:t>
      </w:r>
      <w:r>
        <w:rPr>
          <w:rFonts w:hint="eastAsia" w:ascii="仿宋_GB2312" w:eastAsia="仿宋_GB2312"/>
          <w:b w:val="0"/>
          <w:kern w:val="21"/>
          <w:sz w:val="32"/>
          <w:szCs w:val="32"/>
          <w:u w:val="none"/>
          <w:lang w:val="en-US" w:eastAsia="zh-CN"/>
        </w:rPr>
        <w:t>在职人员减少，因此公用经费支出减少</w:t>
      </w:r>
      <w:r>
        <w:rPr>
          <w:rFonts w:ascii="仿宋_GB2312" w:eastAsia="仿宋_GB2312"/>
          <w:b w:val="0"/>
          <w:kern w:val="21"/>
          <w:sz w:val="32"/>
          <w:szCs w:val="32"/>
          <w:u w:val="none"/>
        </w:rPr>
        <w:t>。</w:t>
      </w:r>
    </w:p>
    <w:p w14:paraId="5EFECD3C">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kern w:val="21"/>
          <w:sz w:val="32"/>
          <w:szCs w:val="32"/>
          <w:u w:val="none"/>
        </w:rPr>
      </w:pPr>
      <w:r>
        <w:rPr>
          <w:rFonts w:ascii="仿宋_GB2312" w:eastAsia="仿宋_GB2312"/>
          <w:b/>
          <w:kern w:val="21"/>
          <w:sz w:val="32"/>
          <w:szCs w:val="32"/>
          <w:u w:val="none"/>
        </w:rPr>
        <w:t>（二）政府采购情况</w:t>
      </w:r>
    </w:p>
    <w:p w14:paraId="7D7BE7AA">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2024年度政府采购支出总额280.22万元，其中：政府采购货物支出9.05万元、政府采购工程支出240.35万元、政府采购服务支出30.81万元。</w:t>
      </w:r>
    </w:p>
    <w:p w14:paraId="79D396FC">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授予中小企业合同金额276.64万元，占政府采购支出总额的98.72%，其中：授予小微企业合同金额34.47万元，占政府采购支出总额的12.30%。</w:t>
      </w:r>
    </w:p>
    <w:p w14:paraId="63C55B64">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kern w:val="21"/>
          <w:sz w:val="32"/>
          <w:szCs w:val="32"/>
          <w:u w:val="none"/>
        </w:rPr>
      </w:pPr>
      <w:r>
        <w:rPr>
          <w:rFonts w:ascii="仿宋_GB2312" w:eastAsia="仿宋_GB2312"/>
          <w:b/>
          <w:kern w:val="21"/>
          <w:sz w:val="32"/>
          <w:szCs w:val="32"/>
          <w:u w:val="none"/>
        </w:rPr>
        <w:t>（三）国有资产占用情况说明</w:t>
      </w:r>
    </w:p>
    <w:p w14:paraId="47245A81">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截至2024年12月31日，房屋12,362.42平方米，价值2,456.28万元。车辆1辆，价值77.07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b w:val="0"/>
          <w:kern w:val="21"/>
          <w:sz w:val="32"/>
          <w:szCs w:val="32"/>
          <w:u w:val="none"/>
          <w:lang w:eastAsia="zh-CN"/>
        </w:rPr>
        <w:t>一般</w:t>
      </w:r>
      <w:r>
        <w:rPr>
          <w:rFonts w:hint="eastAsia" w:ascii="仿宋_GB2312" w:eastAsia="仿宋_GB2312"/>
          <w:b w:val="0"/>
          <w:kern w:val="21"/>
          <w:sz w:val="32"/>
          <w:szCs w:val="32"/>
          <w:u w:val="none"/>
          <w:lang w:val="en-US" w:eastAsia="zh-CN"/>
        </w:rPr>
        <w:t>公务</w:t>
      </w:r>
      <w:r>
        <w:rPr>
          <w:rFonts w:hint="eastAsia" w:ascii="仿宋_GB2312" w:eastAsia="仿宋_GB2312"/>
          <w:b w:val="0"/>
          <w:kern w:val="21"/>
          <w:sz w:val="32"/>
          <w:szCs w:val="32"/>
          <w:u w:val="none"/>
          <w:lang w:eastAsia="zh-CN"/>
        </w:rPr>
        <w:t>用车；</w:t>
      </w:r>
      <w:r>
        <w:rPr>
          <w:rFonts w:ascii="仿宋_GB2312" w:eastAsia="仿宋_GB2312"/>
          <w:b w:val="0"/>
          <w:kern w:val="21"/>
          <w:sz w:val="32"/>
          <w:szCs w:val="32"/>
          <w:u w:val="none"/>
        </w:rPr>
        <w:t>单价100万元（含）以上设备（不含车辆）0台（套）。</w:t>
      </w:r>
    </w:p>
    <w:p w14:paraId="20D49919">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u w:val="none"/>
        </w:rPr>
      </w:pPr>
      <w:r>
        <w:rPr>
          <w:rFonts w:ascii="黑体" w:eastAsia="黑体"/>
          <w:b w:val="0"/>
          <w:kern w:val="21"/>
          <w:sz w:val="32"/>
          <w:szCs w:val="32"/>
          <w:u w:val="none"/>
        </w:rPr>
        <w:t>十一、预算绩效的情况说明</w:t>
      </w:r>
    </w:p>
    <w:p w14:paraId="796E5292">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kern w:val="21"/>
          <w:sz w:val="32"/>
          <w:szCs w:val="32"/>
          <w:u w:val="none"/>
        </w:rPr>
      </w:pPr>
      <w:r>
        <w:rPr>
          <w:rFonts w:ascii="仿宋_GB2312" w:eastAsia="仿宋_GB2312"/>
          <w:b w:val="0"/>
          <w:kern w:val="21"/>
          <w:sz w:val="32"/>
          <w:szCs w:val="32"/>
          <w:u w:val="none"/>
        </w:rPr>
        <w:t>根据预算绩效管理要求，</w:t>
      </w:r>
      <w:r>
        <w:rPr>
          <w:rFonts w:hint="eastAsia" w:ascii="仿宋_GB2312" w:eastAsia="仿宋_GB2312"/>
          <w:b w:val="0"/>
          <w:kern w:val="21"/>
          <w:sz w:val="32"/>
          <w:szCs w:val="32"/>
          <w:u w:val="none"/>
          <w:lang w:val="en-US" w:eastAsia="zh-CN"/>
        </w:rPr>
        <w:t>本</w:t>
      </w:r>
      <w:r>
        <w:rPr>
          <w:rFonts w:hint="eastAsia" w:ascii="仿宋_GB2312" w:eastAsia="仿宋_GB2312"/>
          <w:b w:val="0"/>
          <w:kern w:val="21"/>
          <w:sz w:val="32"/>
          <w:szCs w:val="32"/>
          <w:u w:val="none"/>
          <w:lang w:eastAsia="zh-CN"/>
        </w:rPr>
        <w:t>单位2024年度预算绩效评价项目</w:t>
      </w:r>
      <w:r>
        <w:rPr>
          <w:rFonts w:hint="eastAsia" w:ascii="仿宋_GB2312" w:eastAsia="仿宋_GB2312"/>
          <w:b w:val="0"/>
          <w:kern w:val="21"/>
          <w:sz w:val="32"/>
          <w:szCs w:val="32"/>
          <w:highlight w:val="none"/>
          <w:u w:val="none"/>
          <w:lang w:val="en-US" w:eastAsia="zh-CN"/>
        </w:rPr>
        <w:t>2</w:t>
      </w:r>
      <w:r>
        <w:rPr>
          <w:rFonts w:hint="eastAsia" w:ascii="仿宋_GB2312" w:eastAsia="仿宋_GB2312"/>
          <w:b w:val="0"/>
          <w:kern w:val="21"/>
          <w:sz w:val="32"/>
          <w:szCs w:val="32"/>
          <w:highlight w:val="none"/>
          <w:u w:val="none"/>
          <w:lang w:eastAsia="zh-CN"/>
        </w:rPr>
        <w:t>个，</w:t>
      </w:r>
      <w:r>
        <w:rPr>
          <w:rFonts w:hint="eastAsia" w:ascii="仿宋_GB2312" w:eastAsia="仿宋_GB2312"/>
          <w:b w:val="0"/>
          <w:kern w:val="21"/>
          <w:sz w:val="32"/>
          <w:szCs w:val="32"/>
          <w:highlight w:val="none"/>
          <w:u w:val="none"/>
          <w:lang w:val="en-US" w:eastAsia="zh-CN"/>
        </w:rPr>
        <w:t>全年预算数</w:t>
      </w:r>
      <w:r>
        <w:rPr>
          <w:rFonts w:hint="eastAsia" w:ascii="仿宋_GB2312" w:eastAsia="仿宋_GB2312"/>
          <w:b w:val="0"/>
          <w:kern w:val="21"/>
          <w:sz w:val="32"/>
          <w:szCs w:val="32"/>
          <w:highlight w:val="none"/>
          <w:u w:val="none"/>
          <w:lang w:eastAsia="zh-CN"/>
        </w:rPr>
        <w:t>518.44</w:t>
      </w:r>
      <w:r>
        <w:rPr>
          <w:rFonts w:hint="eastAsia" w:ascii="仿宋_GB2312" w:eastAsia="仿宋_GB2312"/>
          <w:b w:val="0"/>
          <w:kern w:val="21"/>
          <w:sz w:val="32"/>
          <w:szCs w:val="32"/>
          <w:highlight w:val="none"/>
          <w:u w:val="none"/>
        </w:rPr>
        <w:t>万元</w:t>
      </w:r>
      <w:r>
        <w:rPr>
          <w:rFonts w:hint="eastAsia" w:ascii="仿宋_GB2312" w:eastAsia="仿宋_GB2312"/>
          <w:b w:val="0"/>
          <w:kern w:val="21"/>
          <w:sz w:val="32"/>
          <w:szCs w:val="32"/>
          <w:highlight w:val="none"/>
          <w:u w:val="none"/>
          <w:lang w:eastAsia="zh-CN"/>
        </w:rPr>
        <w:t>，</w:t>
      </w:r>
      <w:r>
        <w:rPr>
          <w:rFonts w:hint="eastAsia" w:ascii="仿宋_GB2312" w:eastAsia="仿宋_GB2312"/>
          <w:b w:val="0"/>
          <w:kern w:val="21"/>
          <w:sz w:val="32"/>
          <w:szCs w:val="32"/>
          <w:highlight w:val="none"/>
          <w:u w:val="none"/>
          <w:lang w:val="en-US" w:eastAsia="zh-CN"/>
        </w:rPr>
        <w:t>全年执行数</w:t>
      </w:r>
      <w:r>
        <w:rPr>
          <w:rFonts w:hint="eastAsia" w:ascii="仿宋_GB2312" w:eastAsia="仿宋_GB2312"/>
          <w:b w:val="0"/>
          <w:kern w:val="21"/>
          <w:sz w:val="32"/>
          <w:szCs w:val="32"/>
          <w:highlight w:val="none"/>
          <w:u w:val="none"/>
          <w:lang w:eastAsia="zh-CN"/>
        </w:rPr>
        <w:t>490.96</w:t>
      </w:r>
      <w:r>
        <w:rPr>
          <w:rFonts w:hint="eastAsia" w:ascii="仿宋_GB2312" w:eastAsia="仿宋_GB2312"/>
          <w:b w:val="0"/>
          <w:kern w:val="21"/>
          <w:sz w:val="32"/>
          <w:szCs w:val="32"/>
          <w:highlight w:val="none"/>
          <w:u w:val="none"/>
        </w:rPr>
        <w:t>万元</w:t>
      </w:r>
      <w:r>
        <w:rPr>
          <w:rFonts w:ascii="仿宋_GB2312" w:eastAsia="仿宋_GB2312"/>
          <w:b w:val="0"/>
          <w:kern w:val="21"/>
          <w:sz w:val="32"/>
          <w:szCs w:val="32"/>
          <w:highlight w:val="none"/>
          <w:u w:val="none"/>
        </w:rPr>
        <w:t>。预算绩效管理取得的成</w:t>
      </w:r>
      <w:r>
        <w:rPr>
          <w:rFonts w:ascii="仿宋_GB2312" w:eastAsia="仿宋_GB2312"/>
          <w:b w:val="0"/>
          <w:kern w:val="21"/>
          <w:sz w:val="32"/>
          <w:szCs w:val="32"/>
          <w:u w:val="none"/>
        </w:rPr>
        <w:t>效</w:t>
      </w:r>
      <w:r>
        <w:rPr>
          <w:rFonts w:ascii="仿宋_GB2312" w:eastAsia="仿宋_GB2312"/>
          <w:b w:val="0"/>
          <w:bCs w:val="0"/>
          <w:kern w:val="21"/>
          <w:sz w:val="32"/>
          <w:szCs w:val="32"/>
          <w:u w:val="none"/>
        </w:rPr>
        <w:t>：</w:t>
      </w:r>
      <w:r>
        <w:rPr>
          <w:rFonts w:ascii="仿宋_GB2312" w:hAnsi="宋体" w:eastAsia="仿宋_GB2312" w:cs="仿宋_GB2312"/>
          <w:b w:val="0"/>
          <w:bCs w:val="0"/>
          <w:color w:val="000000"/>
          <w:kern w:val="21"/>
          <w:sz w:val="32"/>
          <w:szCs w:val="32"/>
          <w:u w:val="none"/>
          <w:lang w:val="en-US" w:eastAsia="zh-CN" w:bidi="ar"/>
        </w:rPr>
        <w:t>一是</w:t>
      </w:r>
      <w:r>
        <w:rPr>
          <w:rFonts w:hint="eastAsia" w:ascii="仿宋_GB2312" w:hAnsi="宋体" w:eastAsia="仿宋_GB2312" w:cs="仿宋_GB2312"/>
          <w:b w:val="0"/>
          <w:bCs w:val="0"/>
          <w:color w:val="000000"/>
          <w:kern w:val="21"/>
          <w:sz w:val="32"/>
          <w:szCs w:val="32"/>
          <w:u w:val="none"/>
          <w:lang w:val="en-US" w:eastAsia="zh-CN" w:bidi="ar"/>
        </w:rPr>
        <w:t>抓</w:t>
      </w:r>
      <w:r>
        <w:rPr>
          <w:rFonts w:hint="eastAsia" w:ascii="仿宋_GB2312" w:hAnsi="宋体" w:eastAsia="仿宋_GB2312" w:cs="仿宋_GB2312"/>
          <w:color w:val="000000"/>
          <w:kern w:val="21"/>
          <w:sz w:val="32"/>
          <w:szCs w:val="32"/>
          <w:u w:val="none"/>
          <w:lang w:val="en-US" w:eastAsia="zh-CN" w:bidi="ar"/>
        </w:rPr>
        <w:t>安全生产毫不松懈；</w:t>
      </w:r>
      <w:r>
        <w:rPr>
          <w:rFonts w:hint="eastAsia" w:ascii="仿宋_GB2312" w:hAnsi="宋体" w:eastAsia="仿宋_GB2312" w:cs="仿宋_GB2312"/>
          <w:b w:val="0"/>
          <w:bCs w:val="0"/>
          <w:color w:val="000000"/>
          <w:kern w:val="21"/>
          <w:sz w:val="32"/>
          <w:szCs w:val="32"/>
          <w:u w:val="none"/>
          <w:lang w:val="en-US" w:eastAsia="zh-CN" w:bidi="ar"/>
        </w:rPr>
        <w:t>二是</w:t>
      </w:r>
      <w:r>
        <w:rPr>
          <w:rFonts w:hint="eastAsia" w:ascii="仿宋_GB2312" w:hAnsi="宋体" w:eastAsia="仿宋_GB2312" w:cs="仿宋_GB2312"/>
          <w:color w:val="000000"/>
          <w:kern w:val="21"/>
          <w:sz w:val="32"/>
          <w:szCs w:val="32"/>
          <w:u w:val="none"/>
          <w:lang w:val="en-US" w:eastAsia="zh-CN" w:bidi="ar"/>
        </w:rPr>
        <w:t>节能减排工作成绩突出；</w:t>
      </w:r>
      <w:r>
        <w:rPr>
          <w:rFonts w:hint="eastAsia" w:ascii="仿宋_GB2312" w:hAnsi="宋体" w:eastAsia="仿宋_GB2312" w:cs="仿宋_GB2312"/>
          <w:b w:val="0"/>
          <w:bCs w:val="0"/>
          <w:color w:val="000000"/>
          <w:kern w:val="21"/>
          <w:sz w:val="32"/>
          <w:szCs w:val="32"/>
          <w:u w:val="none"/>
          <w:lang w:val="en-US" w:eastAsia="zh-CN" w:bidi="ar"/>
        </w:rPr>
        <w:t>三是</w:t>
      </w:r>
      <w:r>
        <w:rPr>
          <w:rFonts w:hint="eastAsia" w:ascii="仿宋_GB2312" w:hAnsi="宋体" w:eastAsia="仿宋_GB2312" w:cs="仿宋_GB2312"/>
          <w:color w:val="000000"/>
          <w:kern w:val="21"/>
          <w:sz w:val="32"/>
          <w:szCs w:val="32"/>
          <w:u w:val="none"/>
          <w:lang w:val="en-US" w:eastAsia="zh-CN" w:bidi="ar"/>
        </w:rPr>
        <w:t>公务用车管理细致合规；</w:t>
      </w:r>
      <w:r>
        <w:rPr>
          <w:rFonts w:hint="eastAsia" w:ascii="仿宋_GB2312" w:hAnsi="宋体" w:eastAsia="仿宋_GB2312" w:cs="仿宋_GB2312"/>
          <w:b w:val="0"/>
          <w:bCs w:val="0"/>
          <w:color w:val="000000"/>
          <w:kern w:val="21"/>
          <w:sz w:val="32"/>
          <w:szCs w:val="32"/>
          <w:u w:val="none"/>
          <w:lang w:val="en-US" w:eastAsia="zh-CN" w:bidi="ar"/>
        </w:rPr>
        <w:t>四是</w:t>
      </w:r>
      <w:r>
        <w:rPr>
          <w:rFonts w:hint="eastAsia" w:ascii="仿宋_GB2312" w:hAnsi="宋体" w:eastAsia="仿宋_GB2312" w:cs="仿宋_GB2312"/>
          <w:color w:val="000000"/>
          <w:kern w:val="21"/>
          <w:sz w:val="32"/>
          <w:szCs w:val="32"/>
          <w:u w:val="none"/>
          <w:lang w:val="en-US" w:eastAsia="zh-CN" w:bidi="ar"/>
        </w:rPr>
        <w:t>管理好国有经营性房产出租出借工作；五是清除我局办公安全隐患，适当改善办公条件。</w:t>
      </w:r>
      <w:r>
        <w:rPr>
          <w:rFonts w:hint="eastAsia" w:ascii="仿宋_GB2312" w:hAnsi="宋体" w:eastAsia="仿宋_GB2312" w:cs="仿宋_GB2312"/>
          <w:b w:val="0"/>
          <w:bCs w:val="0"/>
          <w:color w:val="000000"/>
          <w:kern w:val="21"/>
          <w:sz w:val="32"/>
          <w:szCs w:val="32"/>
          <w:u w:val="none"/>
          <w:lang w:val="en-US" w:eastAsia="zh-CN" w:bidi="ar"/>
        </w:rPr>
        <w:t>发现的问题及原因：</w:t>
      </w:r>
      <w:r>
        <w:rPr>
          <w:rFonts w:hint="eastAsia" w:ascii="仿宋_GB2312" w:hAnsi="宋体" w:eastAsia="仿宋_GB2312" w:cs="仿宋_GB2312"/>
          <w:color w:val="000000"/>
          <w:kern w:val="21"/>
          <w:sz w:val="32"/>
          <w:szCs w:val="32"/>
          <w:u w:val="none"/>
          <w:lang w:val="en-US" w:eastAsia="zh-CN" w:bidi="ar"/>
        </w:rPr>
        <w:t>服务保障工作需完善管理流程，规范管理细节和服务意识、保障意识，各项工作都要做到谋划在前、精打细算。</w:t>
      </w:r>
      <w:r>
        <w:rPr>
          <w:rFonts w:hint="eastAsia" w:ascii="仿宋_GB2312" w:hAnsi="宋体" w:eastAsia="仿宋_GB2312" w:cs="仿宋_GB2312"/>
          <w:b w:val="0"/>
          <w:bCs w:val="0"/>
          <w:color w:val="000000"/>
          <w:kern w:val="21"/>
          <w:sz w:val="32"/>
          <w:szCs w:val="32"/>
          <w:u w:val="none"/>
          <w:lang w:val="en-US" w:eastAsia="zh-CN" w:bidi="ar"/>
        </w:rPr>
        <w:t>下一步改进措施：</w:t>
      </w:r>
      <w:r>
        <w:rPr>
          <w:rFonts w:hint="eastAsia" w:ascii="仿宋_GB2312" w:hAnsi="宋体" w:eastAsia="仿宋_GB2312" w:cs="仿宋_GB2312"/>
          <w:color w:val="000000"/>
          <w:kern w:val="21"/>
          <w:sz w:val="32"/>
          <w:szCs w:val="32"/>
          <w:u w:val="none"/>
          <w:lang w:val="en-US" w:eastAsia="zh-CN" w:bidi="ar"/>
        </w:rPr>
        <w:t>完善后勤服务各项流程，加强干部职工管理，提高整体素质，保障项目绩效取得成效。</w:t>
      </w:r>
      <w:r>
        <w:rPr>
          <w:rFonts w:hint="eastAsia" w:ascii="仿宋_GB2312" w:eastAsia="仿宋_GB2312"/>
          <w:b w:val="0"/>
          <w:kern w:val="21"/>
          <w:sz w:val="32"/>
          <w:szCs w:val="32"/>
          <w:u w:val="none"/>
          <w:lang w:val="en-US" w:eastAsia="zh-CN"/>
        </w:rPr>
        <w:t>具体附项目支出绩</w:t>
      </w:r>
      <w:r>
        <w:rPr>
          <w:rFonts w:hint="eastAsia" w:ascii="仿宋_GB2312" w:hAnsi="仿宋_GB2312" w:eastAsia="仿宋_GB2312" w:cs="仿宋_GB2312"/>
          <w:b w:val="0"/>
          <w:bCs w:val="0"/>
          <w:color w:val="000000"/>
          <w:kern w:val="21"/>
          <w:sz w:val="32"/>
          <w:szCs w:val="32"/>
          <w:u w:val="none"/>
          <w:lang w:val="en-US" w:eastAsia="zh-CN" w:bidi="ar"/>
        </w:rPr>
        <w:t>效自评表</w:t>
      </w:r>
      <w:r>
        <w:rPr>
          <w:rFonts w:ascii="仿宋_GB2312" w:eastAsia="仿宋_GB2312"/>
          <w:b w:val="0"/>
          <w:kern w:val="21"/>
          <w:sz w:val="32"/>
          <w:szCs w:val="32"/>
          <w:u w:val="none"/>
        </w:rPr>
        <w:t>。</w:t>
      </w:r>
    </w:p>
    <w:p w14:paraId="0DBC6A51">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b w:val="0"/>
          <w:kern w:val="21"/>
          <w:sz w:val="32"/>
          <w:szCs w:val="32"/>
          <w:u w:val="none"/>
        </w:rPr>
        <w:sectPr>
          <w:pgSz w:w="12240" w:h="15840"/>
          <w:pgMar w:top="1440" w:right="1800" w:bottom="1440" w:left="1800" w:header="720" w:footer="720" w:gutter="0"/>
          <w:cols w:space="720" w:num="1"/>
        </w:sectPr>
      </w:pPr>
    </w:p>
    <w:p w14:paraId="52FC3949">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u w:val="none"/>
        </w:rPr>
      </w:pPr>
      <w:r>
        <w:rPr>
          <w:rFonts w:ascii="黑体" w:eastAsia="黑体"/>
          <w:b w:val="0"/>
          <w:kern w:val="21"/>
          <w:sz w:val="32"/>
          <w:szCs w:val="32"/>
          <w:u w:val="none"/>
        </w:rPr>
        <w:t>十二、其他需说明的事项</w:t>
      </w:r>
    </w:p>
    <w:p w14:paraId="1D5D9301">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u w:val="none"/>
        </w:rPr>
      </w:pPr>
      <w:r>
        <w:rPr>
          <w:rFonts w:ascii="仿宋_GB2312" w:eastAsia="仿宋_GB2312"/>
          <w:b w:val="0"/>
          <w:kern w:val="21"/>
          <w:sz w:val="32"/>
          <w:szCs w:val="32"/>
          <w:u w:val="none"/>
        </w:rPr>
        <w:t>本单位无其他需说明事项。</w:t>
      </w:r>
    </w:p>
    <w:p w14:paraId="053763A7">
      <w:pPr>
        <w:keepNext w:val="0"/>
        <w:keepLines w:val="0"/>
        <w:pageBreakBefore w:val="0"/>
        <w:widowControl w:val="0"/>
        <w:kinsoku/>
        <w:wordWrap/>
        <w:overflowPunct/>
        <w:topLinePunct/>
        <w:autoSpaceDE/>
        <w:autoSpaceDN/>
        <w:bidi w:val="0"/>
        <w:adjustRightInd/>
        <w:snapToGrid/>
        <w:spacing w:line="560" w:lineRule="exact"/>
        <w:jc w:val="both"/>
        <w:textAlignment w:val="auto"/>
        <w:rPr>
          <w:kern w:val="21"/>
          <w:sz w:val="32"/>
          <w:szCs w:val="32"/>
          <w:u w:val="none"/>
        </w:rPr>
      </w:pPr>
      <w:r>
        <w:rPr>
          <w:b w:val="0"/>
          <w:kern w:val="21"/>
          <w:sz w:val="32"/>
          <w:szCs w:val="32"/>
          <w:u w:val="none"/>
        </w:rPr>
        <w:br w:type="page"/>
      </w:r>
    </w:p>
    <w:p w14:paraId="3FAB76C1">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center"/>
        <w:textAlignment w:val="auto"/>
        <w:outlineLvl w:val="0"/>
        <w:rPr>
          <w:rFonts w:ascii="黑体" w:eastAsia="黑体"/>
          <w:kern w:val="21"/>
          <w:sz w:val="32"/>
          <w:szCs w:val="32"/>
          <w:u w:val="none"/>
        </w:rPr>
      </w:pPr>
      <w:r>
        <w:rPr>
          <w:rFonts w:ascii="黑体" w:eastAsia="黑体"/>
          <w:b w:val="0"/>
          <w:kern w:val="21"/>
          <w:sz w:val="32"/>
          <w:szCs w:val="32"/>
          <w:u w:val="none"/>
        </w:rPr>
        <w:t>第三部分专业名词解释</w:t>
      </w:r>
    </w:p>
    <w:p w14:paraId="3CD7A6D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u w:val="none"/>
        </w:rPr>
      </w:pPr>
      <w:r>
        <w:rPr>
          <w:rFonts w:ascii="仿宋_GB2312" w:eastAsia="仿宋_GB2312"/>
          <w:b/>
          <w:kern w:val="21"/>
          <w:sz w:val="32"/>
          <w:szCs w:val="32"/>
          <w:u w:val="none"/>
        </w:rPr>
        <w:t>一、财政拨款收入：</w:t>
      </w:r>
      <w:r>
        <w:rPr>
          <w:rFonts w:ascii="仿宋_GB2312" w:eastAsia="仿宋_GB2312"/>
          <w:b w:val="0"/>
          <w:kern w:val="21"/>
          <w:sz w:val="32"/>
          <w:szCs w:val="32"/>
          <w:u w:val="none"/>
        </w:rPr>
        <w:t>指同级财政当年拨付的资金。</w:t>
      </w:r>
    </w:p>
    <w:p w14:paraId="716EFA8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u w:val="none"/>
        </w:rPr>
      </w:pPr>
      <w:r>
        <w:rPr>
          <w:rFonts w:ascii="仿宋_GB2312" w:eastAsia="仿宋_GB2312"/>
          <w:b/>
          <w:kern w:val="21"/>
          <w:sz w:val="32"/>
          <w:szCs w:val="32"/>
          <w:u w:val="none"/>
        </w:rPr>
        <w:t>二、上级补助收入：</w:t>
      </w:r>
      <w:r>
        <w:rPr>
          <w:rFonts w:ascii="仿宋_GB2312" w:eastAsia="仿宋_GB2312"/>
          <w:b w:val="0"/>
          <w:kern w:val="21"/>
          <w:sz w:val="32"/>
          <w:szCs w:val="32"/>
          <w:u w:val="none"/>
        </w:rPr>
        <w:t>指事业单位从主管部门和上级单位取得的非财政补助收入。</w:t>
      </w:r>
    </w:p>
    <w:p w14:paraId="5F46F34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u w:val="none"/>
        </w:rPr>
      </w:pPr>
      <w:r>
        <w:rPr>
          <w:rFonts w:ascii="仿宋_GB2312" w:eastAsia="仿宋_GB2312"/>
          <w:b/>
          <w:kern w:val="21"/>
          <w:sz w:val="32"/>
          <w:szCs w:val="32"/>
          <w:u w:val="none"/>
        </w:rPr>
        <w:t>三、事业收入：</w:t>
      </w:r>
      <w:r>
        <w:rPr>
          <w:rFonts w:ascii="仿宋_GB2312" w:eastAsia="仿宋_GB2312"/>
          <w:b w:val="0"/>
          <w:kern w:val="21"/>
          <w:sz w:val="32"/>
          <w:szCs w:val="32"/>
          <w:u w:val="none"/>
        </w:rPr>
        <w:t>指事业单位开展专业业务活动及其辅助活动所取得的收入。</w:t>
      </w:r>
    </w:p>
    <w:p w14:paraId="287D96C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u w:val="none"/>
        </w:rPr>
      </w:pPr>
      <w:r>
        <w:rPr>
          <w:rFonts w:ascii="仿宋_GB2312" w:eastAsia="仿宋_GB2312"/>
          <w:b/>
          <w:kern w:val="21"/>
          <w:sz w:val="32"/>
          <w:szCs w:val="32"/>
          <w:u w:val="none"/>
        </w:rPr>
        <w:t>四、经营收入：</w:t>
      </w:r>
      <w:r>
        <w:rPr>
          <w:rFonts w:ascii="仿宋_GB2312" w:eastAsia="仿宋_GB2312"/>
          <w:b w:val="0"/>
          <w:kern w:val="21"/>
          <w:sz w:val="32"/>
          <w:szCs w:val="32"/>
          <w:u w:val="none"/>
        </w:rPr>
        <w:t>指事业单位在专业业务活动及其辅助活动之外开展非独立核算经营活动取得的收入。</w:t>
      </w:r>
    </w:p>
    <w:p w14:paraId="082760F6">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u w:val="none"/>
        </w:rPr>
      </w:pPr>
      <w:r>
        <w:rPr>
          <w:rFonts w:ascii="仿宋_GB2312" w:eastAsia="仿宋_GB2312"/>
          <w:b/>
          <w:kern w:val="21"/>
          <w:sz w:val="32"/>
          <w:szCs w:val="32"/>
          <w:u w:val="none"/>
        </w:rPr>
        <w:t>五、附属单位上缴收入：</w:t>
      </w:r>
      <w:r>
        <w:rPr>
          <w:rFonts w:ascii="仿宋_GB2312" w:eastAsia="仿宋_GB2312"/>
          <w:b w:val="0"/>
          <w:kern w:val="21"/>
          <w:sz w:val="32"/>
          <w:szCs w:val="32"/>
          <w:u w:val="none"/>
        </w:rPr>
        <w:t>指事业单位附属的独立核算单位按有关规定上缴的收入。</w:t>
      </w:r>
    </w:p>
    <w:p w14:paraId="444C19CC">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u w:val="none"/>
        </w:rPr>
      </w:pPr>
      <w:r>
        <w:rPr>
          <w:rFonts w:ascii="仿宋_GB2312" w:eastAsia="仿宋_GB2312"/>
          <w:b/>
          <w:kern w:val="21"/>
          <w:sz w:val="32"/>
          <w:szCs w:val="32"/>
          <w:u w:val="none"/>
        </w:rPr>
        <w:t>六、其他收入：</w:t>
      </w:r>
      <w:r>
        <w:rPr>
          <w:rFonts w:ascii="仿宋_GB2312" w:eastAsia="仿宋_GB2312"/>
          <w:b w:val="0"/>
          <w:kern w:val="21"/>
          <w:sz w:val="32"/>
          <w:szCs w:val="32"/>
          <w:u w:val="none"/>
        </w:rPr>
        <w:t>指除上述</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财政拨款收入</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事业收入</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经营收入</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附属单位上缴收入</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等之外取得的收入。</w:t>
      </w:r>
    </w:p>
    <w:p w14:paraId="70E5347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u w:val="none"/>
        </w:rPr>
      </w:pPr>
      <w:r>
        <w:rPr>
          <w:rFonts w:ascii="仿宋_GB2312" w:eastAsia="仿宋_GB2312"/>
          <w:b/>
          <w:kern w:val="21"/>
          <w:sz w:val="32"/>
          <w:szCs w:val="32"/>
          <w:u w:val="none"/>
        </w:rPr>
        <w:t>七、年初结转和结余：</w:t>
      </w:r>
      <w:r>
        <w:rPr>
          <w:rFonts w:ascii="仿宋_GB2312" w:eastAsia="仿宋_GB2312"/>
          <w:b w:val="0"/>
          <w:kern w:val="21"/>
          <w:sz w:val="32"/>
          <w:szCs w:val="32"/>
          <w:u w:val="none"/>
        </w:rPr>
        <w:t>指以前年度支出预算因客观条件变化未执行完毕、结转到本年度按有关规定继续使用的资金，既包括财政拨款结转和结余，也包括事业收入、经营收入、其他收入的结转和结余。</w:t>
      </w:r>
    </w:p>
    <w:p w14:paraId="751EA95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u w:val="none"/>
        </w:rPr>
      </w:pPr>
      <w:r>
        <w:rPr>
          <w:rFonts w:ascii="仿宋_GB2312" w:eastAsia="仿宋_GB2312"/>
          <w:b/>
          <w:kern w:val="21"/>
          <w:sz w:val="32"/>
          <w:szCs w:val="32"/>
          <w:u w:val="none"/>
        </w:rPr>
        <w:t>八、年末结转和结余：</w:t>
      </w:r>
      <w:r>
        <w:rPr>
          <w:rFonts w:ascii="仿宋_GB2312" w:eastAsia="仿宋_GB2312"/>
          <w:b w:val="0"/>
          <w:kern w:val="21"/>
          <w:sz w:val="32"/>
          <w:szCs w:val="32"/>
          <w:u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BECBA2">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u w:val="none"/>
        </w:rPr>
      </w:pPr>
      <w:r>
        <w:rPr>
          <w:rFonts w:ascii="仿宋_GB2312" w:eastAsia="仿宋_GB2312"/>
          <w:b/>
          <w:kern w:val="21"/>
          <w:sz w:val="32"/>
          <w:szCs w:val="32"/>
          <w:u w:val="none"/>
        </w:rPr>
        <w:t>九、基本支出：</w:t>
      </w:r>
      <w:r>
        <w:rPr>
          <w:rFonts w:ascii="仿宋_GB2312" w:eastAsia="仿宋_GB2312"/>
          <w:b w:val="0"/>
          <w:kern w:val="21"/>
          <w:sz w:val="32"/>
          <w:szCs w:val="32"/>
          <w:u w:val="none"/>
        </w:rPr>
        <w:t>指为保障机构正常运转、完成日常工作任务而发生的人员支出和公用支出。</w:t>
      </w:r>
    </w:p>
    <w:p w14:paraId="10C1DB8C">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u w:val="none"/>
        </w:rPr>
      </w:pPr>
      <w:r>
        <w:rPr>
          <w:rFonts w:ascii="仿宋_GB2312" w:eastAsia="仿宋_GB2312"/>
          <w:b/>
          <w:kern w:val="21"/>
          <w:sz w:val="32"/>
          <w:szCs w:val="32"/>
          <w:u w:val="none"/>
        </w:rPr>
        <w:t>十、项目支出：</w:t>
      </w:r>
      <w:r>
        <w:rPr>
          <w:rFonts w:ascii="仿宋_GB2312" w:eastAsia="仿宋_GB2312"/>
          <w:b w:val="0"/>
          <w:kern w:val="21"/>
          <w:sz w:val="32"/>
          <w:szCs w:val="32"/>
          <w:u w:val="none"/>
        </w:rPr>
        <w:t>指在基本支出之外为完成特定行政任务和事业发展目标所发生的支出。</w:t>
      </w:r>
    </w:p>
    <w:p w14:paraId="0C4D553B">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u w:val="none"/>
        </w:rPr>
      </w:pPr>
      <w:r>
        <w:rPr>
          <w:rFonts w:ascii="仿宋_GB2312" w:eastAsia="仿宋_GB2312"/>
          <w:b/>
          <w:kern w:val="21"/>
          <w:sz w:val="32"/>
          <w:szCs w:val="32"/>
          <w:u w:val="none"/>
        </w:rPr>
        <w:t>十一、经营支出：</w:t>
      </w:r>
      <w:r>
        <w:rPr>
          <w:rFonts w:ascii="仿宋_GB2312" w:eastAsia="仿宋_GB2312"/>
          <w:b w:val="0"/>
          <w:kern w:val="21"/>
          <w:sz w:val="32"/>
          <w:szCs w:val="32"/>
          <w:u w:val="none"/>
        </w:rPr>
        <w:t>指事业单位在专业业务活动及其辅助活动之外开展非独立核算经营活动发生的支出。</w:t>
      </w:r>
    </w:p>
    <w:p w14:paraId="620DCEB9">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u w:val="none"/>
        </w:rPr>
      </w:pPr>
      <w:r>
        <w:rPr>
          <w:rFonts w:ascii="仿宋_GB2312" w:eastAsia="仿宋_GB2312"/>
          <w:b/>
          <w:kern w:val="21"/>
          <w:sz w:val="32"/>
          <w:szCs w:val="32"/>
          <w:u w:val="none"/>
        </w:rPr>
        <w:t>十二、对附属单位补助支出：</w:t>
      </w:r>
      <w:r>
        <w:rPr>
          <w:rFonts w:ascii="仿宋_GB2312" w:eastAsia="仿宋_GB2312"/>
          <w:b w:val="0"/>
          <w:kern w:val="21"/>
          <w:sz w:val="32"/>
          <w:szCs w:val="32"/>
          <w:u w:val="none"/>
        </w:rPr>
        <w:t>指事业单位发生的用非财政预算资金对附属单位的补助支出。</w:t>
      </w:r>
    </w:p>
    <w:p w14:paraId="55D6F42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u w:val="none"/>
        </w:rPr>
      </w:pPr>
      <w:r>
        <w:rPr>
          <w:rFonts w:ascii="仿宋_GB2312" w:eastAsia="仿宋_GB2312"/>
          <w:b/>
          <w:kern w:val="21"/>
          <w:sz w:val="32"/>
          <w:szCs w:val="32"/>
          <w:u w:val="none"/>
        </w:rPr>
        <w:t>十三、</w:t>
      </w:r>
      <w:r>
        <w:rPr>
          <w:rFonts w:hint="eastAsia" w:ascii="仿宋_GB2312" w:eastAsia="仿宋_GB2312"/>
          <w:b/>
          <w:kern w:val="21"/>
          <w:sz w:val="32"/>
          <w:szCs w:val="32"/>
          <w:u w:val="none"/>
          <w:lang w:eastAsia="zh-CN"/>
        </w:rPr>
        <w:t>“</w:t>
      </w:r>
      <w:r>
        <w:rPr>
          <w:rFonts w:ascii="仿宋_GB2312" w:eastAsia="仿宋_GB2312"/>
          <w:b/>
          <w:kern w:val="21"/>
          <w:sz w:val="32"/>
          <w:szCs w:val="32"/>
          <w:u w:val="none"/>
        </w:rPr>
        <w:t>三公</w:t>
      </w:r>
      <w:r>
        <w:rPr>
          <w:rFonts w:hint="eastAsia" w:ascii="仿宋_GB2312" w:eastAsia="仿宋_GB2312"/>
          <w:b/>
          <w:kern w:val="21"/>
          <w:sz w:val="32"/>
          <w:szCs w:val="32"/>
          <w:u w:val="none"/>
          <w:lang w:eastAsia="zh-CN"/>
        </w:rPr>
        <w:t>”</w:t>
      </w:r>
      <w:r>
        <w:rPr>
          <w:rFonts w:ascii="仿宋_GB2312" w:eastAsia="仿宋_GB2312"/>
          <w:b/>
          <w:kern w:val="21"/>
          <w:sz w:val="32"/>
          <w:szCs w:val="32"/>
          <w:u w:val="none"/>
        </w:rPr>
        <w:t>经费：</w:t>
      </w:r>
      <w:r>
        <w:rPr>
          <w:rFonts w:ascii="仿宋_GB2312" w:eastAsia="仿宋_GB2312"/>
          <w:b w:val="0"/>
          <w:kern w:val="21"/>
          <w:sz w:val="32"/>
          <w:szCs w:val="32"/>
          <w:u w:val="none"/>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7F0ABB7">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u w:val="none"/>
        </w:rPr>
      </w:pPr>
      <w:r>
        <w:rPr>
          <w:rFonts w:ascii="仿宋_GB2312" w:eastAsia="仿宋_GB2312"/>
          <w:b/>
          <w:kern w:val="21"/>
          <w:sz w:val="32"/>
          <w:szCs w:val="32"/>
          <w:u w:val="none"/>
        </w:rPr>
        <w:t>十四、机关运行经费：</w:t>
      </w:r>
      <w:r>
        <w:rPr>
          <w:rFonts w:ascii="仿宋_GB2312" w:eastAsia="仿宋_GB2312"/>
          <w:b w:val="0"/>
          <w:kern w:val="21"/>
          <w:sz w:val="32"/>
          <w:szCs w:val="32"/>
          <w:u w:val="none"/>
        </w:rPr>
        <w:t>行政单位和参照公务员法管理的事业单位财政拨款基本支出中的公用经费支出。</w:t>
      </w:r>
    </w:p>
    <w:p w14:paraId="2F839571">
      <w:pPr>
        <w:keepNext w:val="0"/>
        <w:keepLines w:val="0"/>
        <w:pageBreakBefore w:val="0"/>
        <w:widowControl w:val="0"/>
        <w:kinsoku/>
        <w:wordWrap/>
        <w:overflowPunct/>
        <w:topLinePunct/>
        <w:autoSpaceDE/>
        <w:autoSpaceDN/>
        <w:bidi w:val="0"/>
        <w:adjustRightInd/>
        <w:snapToGrid/>
        <w:spacing w:line="560" w:lineRule="exact"/>
        <w:jc w:val="both"/>
        <w:textAlignment w:val="auto"/>
        <w:rPr>
          <w:kern w:val="21"/>
          <w:sz w:val="32"/>
          <w:szCs w:val="32"/>
          <w:u w:val="none"/>
        </w:rPr>
      </w:pPr>
      <w:r>
        <w:rPr>
          <w:b w:val="0"/>
          <w:kern w:val="21"/>
          <w:sz w:val="32"/>
          <w:szCs w:val="32"/>
          <w:u w:val="none"/>
        </w:rPr>
        <w:br w:type="page"/>
      </w:r>
    </w:p>
    <w:p w14:paraId="2DBA2D03">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center"/>
        <w:textAlignment w:val="auto"/>
        <w:outlineLvl w:val="0"/>
        <w:rPr>
          <w:rFonts w:ascii="黑体" w:eastAsia="黑体"/>
          <w:kern w:val="21"/>
          <w:sz w:val="32"/>
          <w:szCs w:val="32"/>
          <w:u w:val="none"/>
        </w:rPr>
      </w:pPr>
      <w:r>
        <w:rPr>
          <w:rFonts w:ascii="黑体" w:eastAsia="黑体"/>
          <w:b w:val="0"/>
          <w:kern w:val="21"/>
          <w:sz w:val="32"/>
          <w:szCs w:val="32"/>
          <w:u w:val="none"/>
        </w:rPr>
        <w:t>第四部分部门决算报表（见附表）</w:t>
      </w:r>
    </w:p>
    <w:p w14:paraId="1480427C">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u w:val="none"/>
        </w:rPr>
      </w:pPr>
      <w:r>
        <w:rPr>
          <w:rFonts w:ascii="仿宋_GB2312" w:eastAsia="仿宋_GB2312"/>
          <w:b w:val="0"/>
          <w:kern w:val="21"/>
          <w:sz w:val="32"/>
          <w:szCs w:val="32"/>
          <w:u w:val="none"/>
        </w:rPr>
        <w:t>一、《收入支出决算总表》</w:t>
      </w:r>
    </w:p>
    <w:p w14:paraId="31711AE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u w:val="none"/>
        </w:rPr>
      </w:pPr>
      <w:r>
        <w:rPr>
          <w:rFonts w:ascii="仿宋_GB2312" w:eastAsia="仿宋_GB2312"/>
          <w:b w:val="0"/>
          <w:kern w:val="21"/>
          <w:sz w:val="32"/>
          <w:szCs w:val="32"/>
          <w:u w:val="none"/>
        </w:rPr>
        <w:t>二、《收入决算表》</w:t>
      </w:r>
    </w:p>
    <w:p w14:paraId="453A7902">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u w:val="none"/>
        </w:rPr>
      </w:pPr>
      <w:r>
        <w:rPr>
          <w:rFonts w:ascii="仿宋_GB2312" w:eastAsia="仿宋_GB2312"/>
          <w:b w:val="0"/>
          <w:kern w:val="21"/>
          <w:sz w:val="32"/>
          <w:szCs w:val="32"/>
          <w:u w:val="none"/>
        </w:rPr>
        <w:t>三、《支出决算表》</w:t>
      </w:r>
    </w:p>
    <w:p w14:paraId="1238F84C">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u w:val="none"/>
        </w:rPr>
      </w:pPr>
      <w:r>
        <w:rPr>
          <w:rFonts w:ascii="仿宋_GB2312" w:eastAsia="仿宋_GB2312"/>
          <w:b w:val="0"/>
          <w:kern w:val="21"/>
          <w:sz w:val="32"/>
          <w:szCs w:val="32"/>
          <w:u w:val="none"/>
        </w:rPr>
        <w:t>四、《财政拨款收入支出决算总表》</w:t>
      </w:r>
    </w:p>
    <w:p w14:paraId="57631C49">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u w:val="none"/>
        </w:rPr>
      </w:pPr>
      <w:r>
        <w:rPr>
          <w:rFonts w:ascii="仿宋_GB2312" w:eastAsia="仿宋_GB2312"/>
          <w:b w:val="0"/>
          <w:kern w:val="21"/>
          <w:sz w:val="32"/>
          <w:szCs w:val="32"/>
          <w:u w:val="none"/>
        </w:rPr>
        <w:t>五、《一般公共预算财政拨款支出决算表》</w:t>
      </w:r>
    </w:p>
    <w:p w14:paraId="4C87BFF7">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u w:val="none"/>
        </w:rPr>
      </w:pPr>
      <w:r>
        <w:rPr>
          <w:rFonts w:ascii="仿宋_GB2312" w:eastAsia="仿宋_GB2312"/>
          <w:b w:val="0"/>
          <w:kern w:val="21"/>
          <w:sz w:val="32"/>
          <w:szCs w:val="32"/>
          <w:u w:val="none"/>
        </w:rPr>
        <w:t>六、《一般公共预算财政拨款基本支出决算表》</w:t>
      </w:r>
    </w:p>
    <w:p w14:paraId="0BBC62BA">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u w:val="none"/>
        </w:rPr>
      </w:pPr>
      <w:r>
        <w:rPr>
          <w:rFonts w:ascii="仿宋_GB2312" w:eastAsia="仿宋_GB2312"/>
          <w:b w:val="0"/>
          <w:kern w:val="21"/>
          <w:sz w:val="32"/>
          <w:szCs w:val="32"/>
          <w:u w:val="none"/>
        </w:rPr>
        <w:t>七、《政府性基金预算财政拨款收入支出决算表》</w:t>
      </w:r>
    </w:p>
    <w:p w14:paraId="39C62D84">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u w:val="none"/>
        </w:rPr>
      </w:pPr>
      <w:r>
        <w:rPr>
          <w:rFonts w:ascii="仿宋_GB2312" w:eastAsia="仿宋_GB2312"/>
          <w:b w:val="0"/>
          <w:kern w:val="21"/>
          <w:sz w:val="32"/>
          <w:szCs w:val="32"/>
          <w:u w:val="none"/>
        </w:rPr>
        <w:t>八、《国有资本经营预算财政拨款收入支出决算表》</w:t>
      </w:r>
    </w:p>
    <w:p w14:paraId="012EE446">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u w:val="none"/>
        </w:rPr>
      </w:pPr>
      <w:r>
        <w:rPr>
          <w:rFonts w:ascii="仿宋_GB2312" w:eastAsia="仿宋_GB2312"/>
          <w:b w:val="0"/>
          <w:kern w:val="21"/>
          <w:sz w:val="32"/>
          <w:szCs w:val="32"/>
          <w:u w:val="none"/>
        </w:rPr>
        <w:t>九、《财政拨款</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三公</w:t>
      </w:r>
      <w:r>
        <w:rPr>
          <w:rFonts w:hint="eastAsia" w:ascii="仿宋_GB2312" w:eastAsia="仿宋_GB2312"/>
          <w:b w:val="0"/>
          <w:kern w:val="21"/>
          <w:sz w:val="32"/>
          <w:szCs w:val="32"/>
          <w:u w:val="none"/>
          <w:lang w:eastAsia="zh-CN"/>
        </w:rPr>
        <w:t>”</w:t>
      </w:r>
      <w:r>
        <w:rPr>
          <w:rFonts w:ascii="仿宋_GB2312" w:eastAsia="仿宋_GB2312"/>
          <w:b w:val="0"/>
          <w:kern w:val="21"/>
          <w:sz w:val="32"/>
          <w:szCs w:val="32"/>
          <w:u w:val="none"/>
        </w:rPr>
        <w:t>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7C751F"/>
    <w:rsid w:val="0580501B"/>
    <w:rsid w:val="09D93908"/>
    <w:rsid w:val="12E32111"/>
    <w:rsid w:val="16D90F6F"/>
    <w:rsid w:val="23555C22"/>
    <w:rsid w:val="242A6565"/>
    <w:rsid w:val="24B308A3"/>
    <w:rsid w:val="2D142FC9"/>
    <w:rsid w:val="2FF26808"/>
    <w:rsid w:val="36F8256D"/>
    <w:rsid w:val="37CD2711"/>
    <w:rsid w:val="39F431FD"/>
    <w:rsid w:val="45580E18"/>
    <w:rsid w:val="48434991"/>
    <w:rsid w:val="4CD356E0"/>
    <w:rsid w:val="4FE70B7E"/>
    <w:rsid w:val="62B72826"/>
    <w:rsid w:val="64A82369"/>
    <w:rsid w:val="658E084E"/>
    <w:rsid w:val="69946518"/>
    <w:rsid w:val="6A6D1CC9"/>
    <w:rsid w:val="6CDE1B83"/>
    <w:rsid w:val="6F824E1C"/>
    <w:rsid w:val="74F6543C"/>
    <w:rsid w:val="75D77CEB"/>
    <w:rsid w:val="7A3114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Title Char"/>
    <w:basedOn w:val="13"/>
    <w:link w:val="10"/>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16</Pages>
  <Words>5368</Words>
  <Characters>6016</Characters>
  <TotalTime>4</TotalTime>
  <ScaleCrop>false</ScaleCrop>
  <LinksUpToDate>false</LinksUpToDate>
  <CharactersWithSpaces>6017</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2025-08-13T16:19:00Z</dcterms:created>
  <dc:creator>Administrator</dc:creator>
  <cp:lastModifiedBy>WPS_1687104100</cp:lastModifiedBy>
  <cp:lastPrinted>2025-09-02T10:15:00Z</cp:lastPrinted>
  <dcterms:modified xsi:type="dcterms:W3CDTF">2025-09-03T05:43:40Z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eyJoZGlkIjoiMTE2MjBiZDJmOWM0OGJlMzQ3NTk4MmI1ODRmM2UyMjQiLCJ1c2VySWQiOiIxNTA1NTQyMDU3In0=</vt:lpwstr>
  </property>
  <property fmtid="{D5CDD505-2E9C-101B-9397-08002B2CF9AE}" pid="3" name="KSOProductBuildVer">
    <vt:lpwstr>2052-12.1.0.22529</vt:lpwstr>
  </property>
  <property fmtid="{D5CDD505-2E9C-101B-9397-08002B2CF9AE}" pid="4" name="ICV">
    <vt:lpwstr>B86F99815D0644A8B423F43EDD8D2FB5_13</vt:lpwstr>
  </property>
</Properties>
</file>