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新疆维吾尔自治区粮食行政处罚自由裁量权</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执行标准</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（征求意见稿）</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根据《中华人民共和国行政处罚法》《粮食流通管理条例》等法律、法规和规章的规定，制定本执行标准。本执行标准由二十二个部分组成。</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第一部分  粮食收购企业未按照规定备案</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或提供虚假备案信息</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《粮食流通管理条例》第四十三条：“粮食收购企业未按照规定备案或者提供虚假备案信息的，由粮食和储备行政管理部门责令改正，给予警告；拒不改正的，处2万元以上5万元以下罚款。”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.粮食收购企业未按照规定备案，责令改正，给予警告。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2.收购粮食不足1000吨的企业未按照规定备案，责令改正，拒不改正的，处2万元以上3万元以下罚款。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3.收购粮食超过1000吨的企业未按照规定备案，责令改正，拒不改正的，处3万元以上5万元以下罚款。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4.粮食收购企业提供虚假备案信息，责令改正，给予警告。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5.收购粮食不足1000吨的企业提供虚假备案信息，责令改正，拒不改正的，处3万元以上4万元以下罚款。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6.收购粮食超过1000吨的企业提供虚假备案信息，责令改正，拒不改正的，处4万元以上5万元以下罚款。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第二部分  粮食收购者未执行国家粮食质量标准</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一项：“（一）粮食收购者未执行国家粮食质量标准”。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1.粮食收购者未执行国家粮食质量标准，涉及粮食数量</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吨以下的，责令改正，给予警告。涉及粮食数量</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吨以上1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吨以下的，责令改正，给予警告，对企业并处2万元以下罚款，对其他粮食收购者并处5000元以下罚款。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2.粮食收购者未执行国家粮食质量标准，涉及粮食数量10吨以上100吨以下的，责令改正，给予警告，对企业并处2万元以上10万元以下罚款，对其他粮食收购者并处5000元以上1万元以下罚款。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3.粮食收购者未执行国家粮食质量标准，涉及粮食数量100吨以上200吨以下的，责令改正，给予警告，对企业并处10万元以上20万元以下罚款，对其他粮食收购者并处1万元以上2万元以下罚款。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粮食收购者未执行国家粮食质量标准，涉及粮食数量200吨以上300吨以下的，责令改正，给予警告，对企业并处20万元以上30万元以下罚款，对其他粮食收购者并处2万元以上3万元以下罚款。对其法定代表人、主要负责人、直接负责的主管人员和其他直接责任人员处以其上一年度从本企业取得收入的1倍以上5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粮食收购者未执行国家粮食质量标准，涉及粮食数量300吨以上的，责令改正，给予警告，对企业并处30万元以上50万元以下罚款，对其他粮食收购者并处3万元以上5万元以下罚款。对其法定代表人、主要负责人、直接负责的主管人员和其他直接责任人员处以其上一年度从本企业取得收入的5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第三部分  粮食收购者未及时向售粮者支付售粮款</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二项：“（二）粮食收购者未及时向售粮者支付售粮款”。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粮食收购企业未及时向售粮者支付售粮款，欠付</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日以上且涉及金额3000元以下的，责令改正，给予警告。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.粮食收购企业未及时向售粮者支付售粮款，欠付</w:t>
      </w:r>
      <w:r>
        <w:rPr>
          <w:rFonts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日以上且涉及金额3000元以上1万元以下的，责令改正，给予警告，并处5000元以下罚款。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.粮食收购企业未及时向售粮者支付售粮款，欠付3</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日以上</w:t>
      </w:r>
      <w:r>
        <w:rPr>
          <w:rFonts w:ascii="仿宋_GB2312" w:hAnsi="仿宋_GB2312" w:eastAsia="仿宋_GB2312" w:cs="仿宋_GB2312"/>
          <w:color w:val="000000" w:themeColor="text1"/>
          <w:sz w:val="32"/>
          <w:szCs w:val="32"/>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日以下或涉及金额1万元以上10万元以下的，责令改正，给予警告，并处5000元以上10万元以下罚款。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.粮食收购企业未及时向售粮者支付售粮款，欠付</w:t>
      </w:r>
      <w:r>
        <w:rPr>
          <w:rFonts w:ascii="仿宋_GB2312" w:hAnsi="仿宋_GB2312" w:eastAsia="仿宋_GB2312" w:cs="仿宋_GB2312"/>
          <w:color w:val="000000" w:themeColor="text1"/>
          <w:sz w:val="32"/>
          <w:szCs w:val="32"/>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日以上60日以下或涉及金额10万元以上20万元以下的，责令改正，给予警告，并处10万元以上20万元以下罚款。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粮食收购企业未及时向售粮者支付售粮款，欠付60日以上90日以下或涉及金额20万元以上30万元以下的，责令改正，给予警告，并处20万元以上30万元以下罚款。对其法定代表人、主要负责人、直接负责的主管人员和其他直接责任人员处以其上一年度从本企业取得收入的1倍以上</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粮食收购企业未及时向售粮者支付售粮款，欠付90日以上或涉及金额30万元以上的，责令改正，给予警告，并处30万元以上50万元以下罚款。对其法定代表人、主要负责人、直接负责的主管人员和其他直接责任人员处以其上一年度从本企业取得收入的</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时符合两个以上自由裁量阶次的，按罚款数额较低的阶次执行。买卖双方有约定的，按约定执行。因售粮者自身原因造成的未及时支付粮款，粮食收购者已采取必要措施的，可以免责。其他粮食收购者未及时向售粮者支付售粮款被举报的，参照粮食收购企业违法情形处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第四部分  粮食收购者违反《粮食流通管理条例》规定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代扣、代缴税、费和其他款项</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三项：“（三）粮食收购者违反本条例规定代扣、代缴税、费和其他款项”。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1.代扣、代缴税、费和其他款项</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万元以下的，责令改正，给予警告。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2.代扣、代缴税、费和其他款项</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万元以上10万元以下的，责令改正，给予警告，并处5000元以上10万元以下罚款。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3.代扣、代缴税、费和其他款项10万元以上20万元以下的，责令改正，给予警告，并处10万元以上20万元以下罚款。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代扣、代缴税、费和其他款项20万元以上35万元以下的，责令改正，给予警告，并处20万元以上35万元以下罚款。对其法定代表人、主要负责人、直接负责的主管人员和其他直接责任人员处以其上一年度从本企业取得收入的1倍以上</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5.代扣、代缴税、费和其他款项35万元以上的，责令改正，给予警告，并处35万元以上50万元以下罚款。对其法定代表人、主要负责人、直接负责的主管人员和其他直接责任人员处以其上一年度从本企业取得收入的</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第五部分  粮食收购者收购粮食，未按照国家有关规定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进行质量安全检验，或者对不符合食品安全标准的</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粮食未作为非食用用途单独储存</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四项：“（四）粮食收购者收购粮食，未按照国家有关规定进行质量安全检验，或者对不符合食品安全标准的粮食未作为非食用用途单独储存”。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1.粮食收购者收购粮食，未按照国家有关规定进行质量安全检验，或者对不符合食品安全标准的粮食未作为非食用用途单独储存，涉及粮食数量</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.粮食收购者收购粮食，未按照国家有关规定进行质量安全检验，或者对不符合食品安全标准的粮食未作为非食用用途单独储存，涉及粮食数量</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吨以上1</w:t>
      </w:r>
      <w:r>
        <w:rPr>
          <w:rFonts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吨以下的，责令改正，给予警告，并处5000元以下罚款。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粮食收购者收购粮食，未按照国家有关规定进行质量安全检验，或者对不符合食品安全标准的粮食未作为非食用用途单独储存，涉及粮食数量10吨以上100吨以下的，责令改正，给予警告，并处5000元以上10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粮食收购者收购粮食，未按照国家有关规定进行质量安全检验，或者对不符合食品安全标准的粮食未作为非食用用途单独储存，涉及粮食数量100吨以上300吨以下的，责令改正，给予警告，并处10万元以上20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粮食收购者收购粮食，未按照国家有关规定进行质量安全检验，或者对不符合食品安全标准的粮食未作为非食用用途单独储存，涉及粮食数量300吨以上500吨以下的，责令改正，给予警告，并处20万元以上30万元以下罚款。对其法定代表人、主要负责人、直接负责的主管人员和其他直接责任人员处以其上一年度从本企业取得收入的1倍以上</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.粮食收购者收购粮食，未按照国家有关规定进行质量安全检验，或者对不符合食品安全标准的粮食未作为非食用用途单独储存，涉及粮食数量500吨以上的，</w:t>
      </w:r>
      <w:r>
        <w:rPr>
          <w:rFonts w:ascii="仿宋_GB2312" w:hAnsi="仿宋_GB2312" w:eastAsia="仿宋_GB2312" w:cs="仿宋_GB2312"/>
          <w:color w:val="000000" w:themeColor="text1"/>
          <w:sz w:val="32"/>
          <w:szCs w:val="32"/>
          <w14:textFill>
            <w14:solidFill>
              <w14:schemeClr w14:val="tx1"/>
            </w14:solidFill>
          </w14:textFill>
        </w:rPr>
        <w:t>责令改正，</w:t>
      </w:r>
      <w:r>
        <w:rPr>
          <w:rFonts w:hint="eastAsia" w:ascii="仿宋_GB2312" w:hAnsi="仿宋_GB2312" w:eastAsia="仿宋_GB2312" w:cs="仿宋_GB2312"/>
          <w:color w:val="000000" w:themeColor="text1"/>
          <w:sz w:val="32"/>
          <w:szCs w:val="32"/>
          <w14:textFill>
            <w14:solidFill>
              <w14:schemeClr w14:val="tx1"/>
            </w14:solidFill>
          </w14:textFill>
        </w:rPr>
        <w:t>给予警告，并处30万元以上50万元以下罚款。对其法定代表人、主要负责人、直接负责的主管人员和其他直接责任人员处以其上一年度从本企业取得收入的</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第六部分  从事粮食收购、销售、储存、加工的粮食</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经营者以及饲料、工业用粮企业未建立粮食经营台账，或者</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未按照规定报送粮食基本数据和有关情况</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五项：“（五）从事粮食收购、销售、储存、加工的粮食经营者以及饲料、工业用粮企业未建立粮食经营台账，或者未按照规定报送粮食基本数据和有关情况”。</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1．未建立粮食经营台账，涉及粮食数量</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未建立粮食经营台账，涉及粮食数量</w:t>
      </w:r>
      <w:r>
        <w:rPr>
          <w:rFonts w:ascii="仿宋_GB2312" w:hAnsi="仿宋_GB2312" w:eastAsia="仿宋_GB2312" w:cs="仿宋_GB2312"/>
          <w:color w:val="000000" w:themeColor="text1"/>
          <w:sz w:val="32"/>
          <w:szCs w:val="32"/>
          <w14:textFill>
            <w14:solidFill>
              <w14:schemeClr w14:val="tx1"/>
            </w14:solidFill>
          </w14:textFill>
        </w:rPr>
        <w:t>500</w:t>
      </w:r>
      <w:r>
        <w:rPr>
          <w:rFonts w:hint="eastAsia" w:ascii="仿宋_GB2312" w:hAnsi="仿宋_GB2312" w:eastAsia="仿宋_GB2312" w:cs="仿宋_GB2312"/>
          <w:color w:val="000000" w:themeColor="text1"/>
          <w:sz w:val="32"/>
          <w:szCs w:val="32"/>
          <w14:textFill>
            <w14:solidFill>
              <w14:schemeClr w14:val="tx1"/>
            </w14:solidFill>
          </w14:textFill>
        </w:rPr>
        <w:t>吨以上1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吨以下的，责令改正，给予警告，并处3万元以下罚款。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．未建立粮食经营台账，涉及粮食数量1000吨以上的，责令改正，给予警告，并处3万元以上5万元以下罚款。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．未按照规定报送粮食基本数据和有关情况，涉及粮食数量1000吨以下，责令改正，给予警告，并处1万元以下罚款。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．未按照规定报送粮食基本数据和有关情况，涉及粮食数量5000吨以上，责令改正，给予警告，并处1万元以上3万元以下罚款。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．未按照规定报送粮食基本数据和有关情况，在一年内再次发生的，责令改正，给予警告，并处3万元以上5万元以下的罚款。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．对蓄意虚报、瞒报、拒报粮食基本数据和有关情况、弄虚作假的，责令改正，给予警告，并处5万元以上10万元以下罚款。</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第七部分  粮食储存企业未按照规定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进行粮食销售出库质量安全检验</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《粮食流通管理条例》第四十五条：“有下列情形之一的，由粮食和储备行政管理部门责令改正，给予警告，可以并处20万元以下罚款；情节严重的，并处20万元以上50万元以下罚款”；第四十五条第</w:t>
      </w:r>
      <w:r>
        <w:rPr>
          <w:rFonts w:hint="eastAsia" w:ascii="仿宋_GB2312" w:hAnsi="仿宋_GB2312" w:eastAsia="仿宋_GB2312" w:cs="仿宋_GB2312"/>
          <w:color w:val="000000" w:themeColor="text1"/>
          <w:sz w:val="32"/>
          <w:szCs w:val="32"/>
          <w14:textFill>
            <w14:solidFill>
              <w14:schemeClr w14:val="tx1"/>
            </w14:solidFill>
          </w14:textFill>
        </w:rPr>
        <w:t>六</w:t>
      </w:r>
      <w:r>
        <w:rPr>
          <w:rFonts w:ascii="仿宋_GB2312" w:hAnsi="仿宋_GB2312" w:eastAsia="仿宋_GB2312" w:cs="仿宋_GB2312"/>
          <w:color w:val="000000" w:themeColor="text1"/>
          <w:sz w:val="32"/>
          <w:szCs w:val="32"/>
          <w14:textFill>
            <w14:solidFill>
              <w14:schemeClr w14:val="tx1"/>
            </w14:solidFill>
          </w14:textFill>
        </w:rPr>
        <w:t>项：“（六）粮食储存企业未按照规定进行粮食销售出库质量安全检验”。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数量5吨以下的，</w:t>
      </w:r>
      <w:r>
        <w:rPr>
          <w:rFonts w:ascii="仿宋_GB2312" w:hAnsi="仿宋_GB2312" w:eastAsia="仿宋_GB2312" w:cs="仿宋_GB2312"/>
          <w:color w:val="000000" w:themeColor="text1"/>
          <w:sz w:val="32"/>
          <w:szCs w:val="32"/>
          <w14:textFill>
            <w14:solidFill>
              <w14:schemeClr w14:val="tx1"/>
            </w14:solidFill>
          </w14:textFill>
        </w:rPr>
        <w:t>责令改正，给予警告</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数量5吨以上</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0吨</w:t>
      </w:r>
      <w:r>
        <w:rPr>
          <w:rFonts w:ascii="仿宋_GB2312" w:hAnsi="仿宋_GB2312" w:eastAsia="仿宋_GB2312" w:cs="仿宋_GB2312"/>
          <w:color w:val="000000" w:themeColor="text1"/>
          <w:sz w:val="32"/>
          <w:szCs w:val="32"/>
          <w14:textFill>
            <w14:solidFill>
              <w14:schemeClr w14:val="tx1"/>
            </w14:solidFill>
          </w14:textFill>
        </w:rPr>
        <w:t>以下的，责令改正，给予警告，并处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000元以下罚款。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w:t>
      </w:r>
      <w:r>
        <w:rPr>
          <w:rFonts w:ascii="仿宋_GB2312" w:hAnsi="仿宋_GB2312" w:eastAsia="仿宋_GB2312" w:cs="仿宋_GB2312"/>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吨</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100吨</w:t>
      </w:r>
      <w:r>
        <w:rPr>
          <w:rFonts w:ascii="仿宋_GB2312" w:hAnsi="仿宋_GB2312" w:eastAsia="仿宋_GB2312" w:cs="仿宋_GB2312"/>
          <w:color w:val="000000" w:themeColor="text1"/>
          <w:sz w:val="32"/>
          <w:szCs w:val="32"/>
          <w14:textFill>
            <w14:solidFill>
              <w14:schemeClr w14:val="tx1"/>
            </w14:solidFill>
          </w14:textFill>
        </w:rPr>
        <w:t>以下的，责令改正，给予警告，并处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000元以上10万元以下罚款。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数量100吨</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500吨元</w:t>
      </w:r>
      <w:r>
        <w:rPr>
          <w:rFonts w:ascii="仿宋_GB2312" w:hAnsi="仿宋_GB2312" w:eastAsia="仿宋_GB2312" w:cs="仿宋_GB2312"/>
          <w:color w:val="000000" w:themeColor="text1"/>
          <w:sz w:val="32"/>
          <w:szCs w:val="32"/>
          <w14:textFill>
            <w14:solidFill>
              <w14:schemeClr w14:val="tx1"/>
            </w14:solidFill>
          </w14:textFill>
        </w:rPr>
        <w:t>以下的，责令改正，给予警告，并处10万元以上20万元以下罚款。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数量500吨</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1000吨</w:t>
      </w:r>
      <w:r>
        <w:rPr>
          <w:rFonts w:ascii="仿宋_GB2312" w:hAnsi="仿宋_GB2312" w:eastAsia="仿宋_GB2312" w:cs="仿宋_GB2312"/>
          <w:color w:val="000000" w:themeColor="text1"/>
          <w:sz w:val="32"/>
          <w:szCs w:val="32"/>
          <w14:textFill>
            <w14:solidFill>
              <w14:schemeClr w14:val="tx1"/>
            </w14:solidFill>
          </w14:textFill>
        </w:rPr>
        <w:t>以下的，责令改正，给予警告，并处20万元以上3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倍以上3倍以下罚款。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粮食储存企业未按照规定进行粮食销售出库质量安全检验，涉及粮食</w:t>
      </w:r>
      <w:r>
        <w:rPr>
          <w:rFonts w:hint="eastAsia" w:ascii="仿宋_GB2312" w:hAnsi="仿宋_GB2312" w:eastAsia="仿宋_GB2312" w:cs="仿宋_GB2312"/>
          <w:color w:val="000000" w:themeColor="text1"/>
          <w:sz w:val="32"/>
          <w:szCs w:val="32"/>
          <w14:textFill>
            <w14:solidFill>
              <w14:schemeClr w14:val="tx1"/>
            </w14:solidFill>
          </w14:textFill>
        </w:rPr>
        <w:t>数量1000吨</w:t>
      </w:r>
      <w:r>
        <w:rPr>
          <w:rFonts w:ascii="仿宋_GB2312" w:hAnsi="仿宋_GB2312" w:eastAsia="仿宋_GB2312" w:cs="仿宋_GB2312"/>
          <w:color w:val="000000" w:themeColor="text1"/>
          <w:sz w:val="32"/>
          <w:szCs w:val="32"/>
          <w14:textFill>
            <w14:solidFill>
              <w14:schemeClr w14:val="tx1"/>
            </w14:solidFill>
          </w14:textFill>
        </w:rPr>
        <w:t>以上的，责令改正，给予警告，并处3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万元以上50万元以下罚款。对其法定代表人、主要负责人、直接负责的主管人员和其他直接责任人员处以其上一年度从本企业取得收入的3倍以上10倍以下罚款。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第八部分  粮食收购者、粮食储存企业将真菌毒素、</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农药残留、重金属等污染物质以及其他危害人体健康的物质</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含量超过食品安全标准限量的粮食作为食用用途</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销售出库的行为</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七</w:t>
      </w:r>
      <w:r>
        <w:rPr>
          <w:rFonts w:ascii="仿宋_GB2312" w:hAnsi="仿宋_GB2312" w:eastAsia="仿宋_GB2312" w:cs="仿宋_GB2312"/>
          <w:color w:val="000000" w:themeColor="text1"/>
          <w:sz w:val="32"/>
          <w:szCs w:val="32"/>
          <w14:textFill>
            <w14:solidFill>
              <w14:schemeClr w14:val="tx1"/>
            </w14:solidFill>
          </w14:textFill>
        </w:rPr>
        <w:t>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第四十</w:t>
      </w:r>
      <w:r>
        <w:rPr>
          <w:rFonts w:hint="eastAsia" w:ascii="仿宋_GB2312" w:hAnsi="仿宋_GB2312" w:eastAsia="仿宋_GB2312" w:cs="仿宋_GB2312"/>
          <w:color w:val="000000" w:themeColor="text1"/>
          <w:sz w:val="32"/>
          <w:szCs w:val="32"/>
          <w14:textFill>
            <w14:solidFill>
              <w14:schemeClr w14:val="tx1"/>
            </w14:solidFill>
          </w14:textFill>
        </w:rPr>
        <w:t>七</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项：“（一）真菌毒素、农药残留、重金属等污染物质以及其他危害人体健康的物质含量超过食品安全标准限量的”。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粮食收购者、粮食储存企业将真菌毒素、农药残留、重金属等污染物质以及其他危害人体健康的物质含量超过食品安全标准限量的粮食作为食用用途销售出库，违法销售出库的粮食货值金额1万元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，没收违法所得，并处1万元以上5万元以下罚款</w:t>
      </w:r>
      <w:r>
        <w:rPr>
          <w:rFonts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真菌毒素、农药残留、重金属等污染物质以及其他危害人体健康的物质含量超过食品安全标准限量的粮食作为食用用途销售出库，违法销售出库的粮食货值金额1万元以上的，没收违法所得，并处货值金额1倍以上5倍以下罚款。对其法定代表人、主要负责人、直接负责的主管人员和其他直接责任人员处以其上一年度从本企业取得收入的1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第九部分  粮食收购者、粮食储存企业将霉变</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或者色泽、气味异常的粮食作为食用用途销售出库的行为</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第四十七条第</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项：“（二）霉变或者色泽、气味异常的”。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粮食收购者、粮食储存企业将霉变或者色泽、气味异常的粮食作为食用用途销售出库，违法销售出库的粮食货值金额1万元以下的，没收违法所得，并处1万元以上5万元以下罚款。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霉变或者色泽、气味异常的粮食作为食用用途销售出库，违法销售出库的粮食货值金额1万元以上的，没收违法所得，并处货值金额1倍以上5倍以下罚款。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第十部分  粮食收购者、粮食储存企业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将储存期间使用储粮药剂未满安全间隔期的粮食</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作为食用用途销售出库的行为</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第四十七条第</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项：“（三）储存期间使用储粮药剂未满安全间隔期的”。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粮食收购者、粮食储存企业将储存期间使用储粮药剂未满安全间隔期的粮食作为食用用途销售出库，违法销售出库的粮食货值金额1万元以下的，没收违法所得，并处1万元以上5万元以下罚款。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储存期间使用储粮药剂未满安全间隔期的粮食作为食用用途销售出库，违法销售出库的粮食货值金额1万元以上的，没收违法所得，并处货值金额1倍以上5倍以下罚款。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第十一部分  粮食收购者、粮食储存企业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将被包装材料、容器、运输工具等污染的粮食</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作为食用用途销售出库的行为</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第四十七条第</w:t>
      </w:r>
      <w:r>
        <w:rPr>
          <w:rFonts w:hint="eastAsia" w:ascii="仿宋_GB2312" w:hAnsi="仿宋_GB2312" w:eastAsia="仿宋_GB2312" w:cs="仿宋_GB2312"/>
          <w:color w:val="000000" w:themeColor="text1"/>
          <w:sz w:val="32"/>
          <w:szCs w:val="32"/>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项：“（四）被包装材料、容器、运输工具等污染的”。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粮食收购者、粮食储存企业将被包装材料、容器、运输工具等污染的粮食作为食用用途销售出库，违法销售出库的粮食货值金额1万元以下的，没收违法所得，并处1万元以上5万元以下罚款。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被包装材料、容器、运输工具等污染的粮食作为食用用途销售出库，违法销售出库的粮食货值金额1万元以上的，没收违法所得，并处货值金额1倍以上5倍以下罚款。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第十二部分  粮食收购者、粮食储存企业</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将其他法律、法规或者国家有关规定明确不得作为食用用途</w:t>
      </w:r>
    </w:p>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销售的粮食作为食用用途销售出库的行为</w:t>
      </w:r>
    </w:p>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第四十七条第</w:t>
      </w:r>
      <w:r>
        <w:rPr>
          <w:rFonts w:hint="eastAsia" w:ascii="仿宋_GB2312" w:hAnsi="仿宋_GB2312" w:eastAsia="仿宋_GB2312" w:cs="仿宋_GB2312"/>
          <w:color w:val="000000" w:themeColor="text1"/>
          <w:sz w:val="32"/>
          <w:szCs w:val="32"/>
          <w14:textFill>
            <w14:solidFill>
              <w14:schemeClr w14:val="tx1"/>
            </w14:solidFill>
          </w14:textFill>
        </w:rPr>
        <w:t>五</w:t>
      </w:r>
      <w:r>
        <w:rPr>
          <w:rFonts w:ascii="仿宋_GB2312" w:hAnsi="仿宋_GB2312" w:eastAsia="仿宋_GB2312" w:cs="仿宋_GB2312"/>
          <w:color w:val="000000" w:themeColor="text1"/>
          <w:sz w:val="32"/>
          <w:szCs w:val="32"/>
          <w14:textFill>
            <w14:solidFill>
              <w14:schemeClr w14:val="tx1"/>
            </w14:solidFill>
          </w14:textFill>
        </w:rPr>
        <w:t>项：“（五）其他法律、法规或者国家有关规定明确不得作为食用用途销售的”。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其他法律、法规或者国家有关规定明确不得作为食用用途销售的粮食作为食用用途销售出库，违法销售出库的粮食货值金额1万元以下的，没收违法所得，并处1万元以上5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粮食收购者、粮食储存企业将其他法律、法规或者国家有关规定明确不得作为食用用途销售的粮食作为食用用途销售出库，违法销售出库的粮食货值金额1万元以上的，没收违法所得，并处货值金额1倍以上5倍以下罚款。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pacing w:val="-6"/>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第十三部分  </w:t>
      </w:r>
      <w:r>
        <w:rPr>
          <w:rFonts w:hint="eastAsia" w:ascii="方正黑体_GBK" w:hAnsi="方正黑体_GBK" w:eastAsia="方正黑体_GBK" w:cs="方正黑体_GBK"/>
          <w:color w:val="000000" w:themeColor="text1"/>
          <w:spacing w:val="-6"/>
          <w:sz w:val="32"/>
          <w:szCs w:val="32"/>
          <w14:textFill>
            <w14:solidFill>
              <w14:schemeClr w14:val="tx1"/>
            </w14:solidFill>
          </w14:textFill>
        </w:rPr>
        <w:t>从事政策性粮食经营活动虚报粮食收储数量</w:t>
      </w:r>
    </w:p>
    <w:p>
      <w:pPr>
        <w:spacing w:line="560" w:lineRule="exact"/>
        <w:jc w:val="center"/>
        <w:rPr>
          <w:rFonts w:ascii="方正黑体_GBK" w:hAnsi="方正黑体_GBK" w:eastAsia="方正黑体_GBK" w:cs="方正黑体_GBK"/>
          <w:color w:val="000000" w:themeColor="text1"/>
          <w:spacing w:val="-6"/>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一</w:t>
      </w:r>
      <w:r>
        <w:rPr>
          <w:rFonts w:ascii="仿宋_GB2312" w:hAnsi="仿宋_GB2312" w:eastAsia="仿宋_GB2312" w:cs="仿宋_GB2312"/>
          <w:color w:val="000000" w:themeColor="text1"/>
          <w:sz w:val="32"/>
          <w:szCs w:val="32"/>
          <w14:textFill>
            <w14:solidFill>
              <w14:schemeClr w14:val="tx1"/>
            </w14:solidFill>
          </w14:textFill>
        </w:rPr>
        <w:t>项：“（一）虚报粮食收储数量”。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虚报粮食收储数量，违法涉案粮食</w:t>
      </w:r>
      <w:r>
        <w:rPr>
          <w:rFonts w:hint="eastAsia" w:ascii="仿宋_GB2312" w:hAnsi="仿宋_GB2312" w:eastAsia="仿宋_GB2312" w:cs="仿宋_GB2312"/>
          <w:color w:val="000000" w:themeColor="text1"/>
          <w:sz w:val="32"/>
          <w:szCs w:val="32"/>
          <w14:textFill>
            <w14:solidFill>
              <w14:schemeClr w14:val="tx1"/>
            </w14:solidFill>
          </w14:textFill>
        </w:rPr>
        <w:t>货值金额</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虚报粮食收储数量，违法涉案粮食</w:t>
      </w:r>
      <w:r>
        <w:rPr>
          <w:rFonts w:hint="eastAsia" w:ascii="仿宋_GB2312" w:hAnsi="仿宋_GB2312" w:eastAsia="仿宋_GB2312" w:cs="仿宋_GB2312"/>
          <w:color w:val="000000" w:themeColor="text1"/>
          <w:sz w:val="32"/>
          <w:szCs w:val="32"/>
          <w14:textFill>
            <w14:solidFill>
              <w14:schemeClr w14:val="tx1"/>
            </w14:solidFill>
          </w14:textFill>
        </w:rPr>
        <w:t>货值金额</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00万元</w:t>
      </w:r>
      <w:r>
        <w:rPr>
          <w:rFonts w:ascii="仿宋_GB2312" w:hAnsi="仿宋_GB2312" w:eastAsia="仿宋_GB2312" w:cs="仿宋_GB2312"/>
          <w:color w:val="000000" w:themeColor="text1"/>
          <w:sz w:val="32"/>
          <w:szCs w:val="32"/>
          <w14:textFill>
            <w14:solidFill>
              <w14:schemeClr w14:val="tx1"/>
            </w14:solidFill>
          </w14:textFill>
        </w:rPr>
        <w:t>以上200</w:t>
      </w:r>
      <w:r>
        <w:rPr>
          <w:rFonts w:hint="eastAsia" w:ascii="仿宋_GB2312" w:hAnsi="仿宋_GB2312" w:eastAsia="仿宋_GB2312" w:cs="仿宋_GB2312"/>
          <w:color w:val="000000" w:themeColor="text1"/>
          <w:sz w:val="32"/>
          <w:szCs w:val="32"/>
          <w14:textFill>
            <w14:solidFill>
              <w14:schemeClr w14:val="tx1"/>
            </w14:solidFill>
          </w14:textFill>
        </w:rPr>
        <w:t>万元以下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虚报粮食收储数量，违法涉案粮食</w:t>
      </w:r>
      <w:r>
        <w:rPr>
          <w:rFonts w:hint="eastAsia" w:ascii="仿宋_GB2312" w:hAnsi="仿宋_GB2312" w:eastAsia="仿宋_GB2312" w:cs="仿宋_GB2312"/>
          <w:color w:val="000000" w:themeColor="text1"/>
          <w:sz w:val="32"/>
          <w:szCs w:val="32"/>
          <w14:textFill>
            <w14:solidFill>
              <w14:schemeClr w14:val="tx1"/>
            </w14:solidFill>
          </w14:textFill>
        </w:rPr>
        <w:t>货值金额2</w:t>
      </w:r>
      <w:r>
        <w:rPr>
          <w:rFonts w:ascii="仿宋_GB2312" w:hAnsi="仿宋_GB2312" w:eastAsia="仿宋_GB2312" w:cs="仿宋_GB2312"/>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300万元以下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虚报粮食收储数量，违法涉案粮食</w:t>
      </w:r>
      <w:r>
        <w:rPr>
          <w:rFonts w:hint="eastAsia" w:ascii="仿宋_GB2312" w:hAnsi="仿宋_GB2312" w:eastAsia="仿宋_GB2312" w:cs="仿宋_GB2312"/>
          <w:color w:val="000000" w:themeColor="text1"/>
          <w:sz w:val="32"/>
          <w:szCs w:val="32"/>
          <w14:textFill>
            <w14:solidFill>
              <w14:schemeClr w14:val="tx1"/>
            </w14:solidFill>
          </w14:textFill>
        </w:rPr>
        <w:t>货值金额300万元</w:t>
      </w:r>
      <w:r>
        <w:rPr>
          <w:rFonts w:ascii="仿宋_GB2312" w:hAnsi="仿宋_GB2312" w:eastAsia="仿宋_GB2312" w:cs="仿宋_GB2312"/>
          <w:color w:val="000000" w:themeColor="text1"/>
          <w:sz w:val="32"/>
          <w:szCs w:val="32"/>
          <w14:textFill>
            <w14:solidFill>
              <w14:schemeClr w14:val="tx1"/>
            </w14:solidFill>
          </w14:textFill>
        </w:rPr>
        <w:t>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第十四部分  通过以陈顶新、以次充好、低收高转、</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虚假购销、虚假轮换、违规倒卖等方式，套取粮食价差</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和财政补贴，骗取信贷资金</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ascii="仿宋_GB2312" w:hAnsi="仿宋_GB2312" w:eastAsia="仿宋_GB2312" w:cs="仿宋_GB2312"/>
          <w:color w:val="000000" w:themeColor="text1"/>
          <w:sz w:val="32"/>
          <w:szCs w:val="32"/>
          <w14:textFill>
            <w14:solidFill>
              <w14:schemeClr w14:val="tx1"/>
            </w14:solidFill>
          </w14:textFill>
        </w:rPr>
        <w:t>）通过以陈顶新、以次充好、低收高转、虚假购销、虚假轮换、违规倒卖等方式，套取粮食价差和财政补贴，骗取信贷资金”。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通过以陈顶新、以次充好、低收高转、虚假购销、虚假轮换、违规倒卖等方式，套取粮食价差和财政补贴，骗取信贷资金1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通过以陈顶新、以次充好、低收高转、虚假购销、虚假轮换、违规倒卖等方式，套取粮食价差和财政补贴，骗取信贷资金1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.通</w:t>
      </w:r>
      <w:r>
        <w:rPr>
          <w:rFonts w:ascii="仿宋_GB2312" w:hAnsi="仿宋_GB2312" w:eastAsia="仿宋_GB2312" w:cs="仿宋_GB2312"/>
          <w:color w:val="000000" w:themeColor="text1"/>
          <w:sz w:val="32"/>
          <w:szCs w:val="32"/>
          <w14:textFill>
            <w14:solidFill>
              <w14:schemeClr w14:val="tx1"/>
            </w14:solidFill>
          </w14:textFill>
        </w:rPr>
        <w:t>过以陈顶新、以次充好、低收高转、虚假购销、虚假轮换、违规倒卖等方式，套取粮食价差和财政补贴，骗取信贷资金200万元以上3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通过以陈顶新、以次充好、低收高转、虚假购销、虚假轮换、违规倒卖等方式，套取粮食价差和财政补贴，骗取信贷资金3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第十五部分  从事政策性粮食经营活动挤占、挪用、</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克扣财政补贴、信贷资金</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三</w:t>
      </w:r>
      <w:r>
        <w:rPr>
          <w:rFonts w:ascii="仿宋_GB2312" w:hAnsi="仿宋_GB2312" w:eastAsia="仿宋_GB2312" w:cs="仿宋_GB2312"/>
          <w:color w:val="000000" w:themeColor="text1"/>
          <w:sz w:val="32"/>
          <w:szCs w:val="32"/>
          <w14:textFill>
            <w14:solidFill>
              <w14:schemeClr w14:val="tx1"/>
            </w14:solidFill>
          </w14:textFill>
        </w:rPr>
        <w:t>项：“（三）挤占、挪用、克扣财政补贴、信贷资金”。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挤占、挪用、克扣财政补贴、信贷资金1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挤占、挪用、克扣财政补贴、信贷资金1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.挤占、挪用、克扣财政补贴、信贷资金</w:t>
      </w:r>
      <w:r>
        <w:rPr>
          <w:rFonts w:ascii="仿宋_GB2312" w:hAnsi="仿宋_GB2312" w:eastAsia="仿宋_GB2312" w:cs="仿宋_GB2312"/>
          <w:color w:val="000000" w:themeColor="text1"/>
          <w:sz w:val="32"/>
          <w:szCs w:val="32"/>
          <w14:textFill>
            <w14:solidFill>
              <w14:schemeClr w14:val="tx1"/>
            </w14:solidFill>
          </w14:textFill>
        </w:rPr>
        <w:t>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挤占、挪用、克扣财政补贴、信贷资金3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第十六部分  以政策性粮食为债务作担保或者清偿债务</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四</w:t>
      </w:r>
      <w:r>
        <w:rPr>
          <w:rFonts w:ascii="仿宋_GB2312" w:hAnsi="仿宋_GB2312" w:eastAsia="仿宋_GB2312" w:cs="仿宋_GB2312"/>
          <w:color w:val="000000" w:themeColor="text1"/>
          <w:sz w:val="32"/>
          <w:szCs w:val="32"/>
          <w14:textFill>
            <w14:solidFill>
              <w14:schemeClr w14:val="tx1"/>
            </w14:solidFill>
          </w14:textFill>
        </w:rPr>
        <w:t>）以政策性粮食为债务作担保或者清偿债务”。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以政策性粮食为债务作担保或者清偿债务，违法涉案粮食货值金额1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r>
        <w:rPr>
          <w:rFonts w:hint="eastAsia" w:ascii="仿宋_GB2312" w:hAnsi="仿宋_GB2312" w:eastAsia="仿宋_GB2312" w:cs="仿宋_GB2312"/>
          <w:color w:val="000000" w:themeColor="text1"/>
          <w:sz w:val="32"/>
          <w:szCs w:val="32"/>
          <w14:textFill>
            <w14:solidFill>
              <w14:schemeClr w14:val="tx1"/>
            </w14:solidFill>
          </w14:textFill>
        </w:rPr>
        <w:t>（建议不再增加追究责任人处罚）</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以政策性粮食为债务作担保或者清偿债务，违法涉案粮食货值金额1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r>
        <w:rPr>
          <w:rFonts w:hint="eastAsia" w:ascii="仿宋_GB2312" w:hAnsi="仿宋_GB2312" w:eastAsia="仿宋_GB2312" w:cs="仿宋_GB2312"/>
          <w:color w:val="000000" w:themeColor="text1"/>
          <w:sz w:val="32"/>
          <w:szCs w:val="32"/>
          <w14:textFill>
            <w14:solidFill>
              <w14:schemeClr w14:val="tx1"/>
            </w14:solidFill>
          </w14:textFill>
        </w:rPr>
        <w:t>（建议不再增加追究责任人处罚）</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以政策性粮食为债务作担保或者清偿债务，违法涉案粮食货值金额200万元以上3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以政策性粮食为债务作担保或者清偿债务，违法涉案粮食货值金额3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第十七部分  利用政策性粮食进行除政府委托的政策性</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任务以外的其他商业经营</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五</w:t>
      </w:r>
      <w:r>
        <w:rPr>
          <w:rFonts w:ascii="仿宋_GB2312" w:hAnsi="仿宋_GB2312" w:eastAsia="仿宋_GB2312" w:cs="仿宋_GB2312"/>
          <w:color w:val="000000" w:themeColor="text1"/>
          <w:sz w:val="32"/>
          <w:szCs w:val="32"/>
          <w14:textFill>
            <w14:solidFill>
              <w14:schemeClr w14:val="tx1"/>
            </w14:solidFill>
          </w14:textFill>
        </w:rPr>
        <w:t>项：“（五）利用政策性粮食进行除政府委托的政策性任务以外的其他商业经营”。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利用政策性粮食进行除政府委托的政策性任务以外的其他商业经营，违法涉案粮食货值金额1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利用政策性粮食进行除政府委托的政策性任务以外的其他商业经营，违法涉案粮食货值金额1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利用政策性粮食进行除政府委托的政策性任务以外的其他商业经营，违法涉案粮食货值金额200万元以上3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利用政策性粮食进行除政府委托的政策性任务以外的其他商业经营，违法涉案粮食货值金额3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第十八部分  在政策性粮食出库时掺杂使假、以次充好、</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调换标的物，拒不执行出库指令或者阻挠出库</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六</w:t>
      </w:r>
      <w:r>
        <w:rPr>
          <w:rFonts w:ascii="仿宋_GB2312" w:hAnsi="仿宋_GB2312" w:eastAsia="仿宋_GB2312" w:cs="仿宋_GB2312"/>
          <w:color w:val="000000" w:themeColor="text1"/>
          <w:sz w:val="32"/>
          <w:szCs w:val="32"/>
          <w14:textFill>
            <w14:solidFill>
              <w14:schemeClr w14:val="tx1"/>
            </w14:solidFill>
          </w14:textFill>
        </w:rPr>
        <w:t>项：“（六）在政策性粮食出库时掺杂使假、以次充好、调换标的物，拒不执行出库指令或者阻挠出库”。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在政策性粮食出库时掺杂使假、以次充好、调换标的物，拒不执行出库指令或者阻挠</w:t>
      </w:r>
      <w:r>
        <w:rPr>
          <w:rFonts w:hint="eastAsia" w:ascii="仿宋_GB2312" w:hAnsi="仿宋_GB2312" w:eastAsia="仿宋_GB2312" w:cs="仿宋_GB2312"/>
          <w:color w:val="000000" w:themeColor="text1"/>
          <w:sz w:val="32"/>
          <w:szCs w:val="32"/>
          <w14:textFill>
            <w14:solidFill>
              <w14:schemeClr w14:val="tx1"/>
            </w14:solidFill>
          </w14:textFill>
        </w:rPr>
        <w:t>出库</w:t>
      </w:r>
      <w:r>
        <w:rPr>
          <w:rFonts w:ascii="仿宋_GB2312" w:hAnsi="仿宋_GB2312" w:eastAsia="仿宋_GB2312" w:cs="仿宋_GB2312"/>
          <w:color w:val="000000" w:themeColor="text1"/>
          <w:sz w:val="32"/>
          <w:szCs w:val="32"/>
          <w14:textFill>
            <w14:solidFill>
              <w14:schemeClr w14:val="tx1"/>
            </w14:solidFill>
          </w14:textFill>
        </w:rPr>
        <w:t>，违法涉案粮食货值金额1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在政策性粮食出库时掺杂使假、以次充好、调换标的物，拒不执行出库指令或者阻挠出库，违法涉案粮食货值金额1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在政策性粮食出库时掺杂使假、以次充好、调换标的物，拒不执行出库指令或者阻挠出库，违法涉案粮食货值金额200万元以上3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在政策性粮食出库时掺杂使假、以次充好、调换标的物，拒不执行出库指令或者阻挠出库，违法涉案粮食货值金额3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第十九部分  购买国家限定用途的政策性粮食，违规倒卖</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或者不按照规定用途处置</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七</w:t>
      </w:r>
      <w:r>
        <w:rPr>
          <w:rFonts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七</w:t>
      </w:r>
      <w:r>
        <w:rPr>
          <w:rFonts w:ascii="仿宋_GB2312" w:hAnsi="仿宋_GB2312" w:eastAsia="仿宋_GB2312" w:cs="仿宋_GB2312"/>
          <w:color w:val="000000" w:themeColor="text1"/>
          <w:sz w:val="32"/>
          <w:szCs w:val="32"/>
          <w14:textFill>
            <w14:solidFill>
              <w14:schemeClr w14:val="tx1"/>
            </w14:solidFill>
          </w14:textFill>
        </w:rPr>
        <w:t>）购买国家限定用途的政策性粮食，违规倒卖或者不按照规定用途处置”。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购买国家限定用途的政策性粮食，违规倒卖或者不按照规定用途处置，违法涉案粮食货值金额1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购买国家限定用途的政策性粮食，违规倒卖或者不按照规定用途处置，违法涉案粮食货值金额1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购买国家限定用途的政策性粮食，违规倒卖或者不按照规定用途处置，违法涉案粮食货值金额200万元以上3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购买国家限定用途的政策性粮食，违规倒卖或者不按照规定用途处置，违法涉案粮食货值金额3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第二十部分  擅自动用政策性粮食</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八</w:t>
      </w:r>
      <w:r>
        <w:rPr>
          <w:rFonts w:ascii="仿宋_GB2312" w:hAnsi="仿宋_GB2312" w:eastAsia="仿宋_GB2312" w:cs="仿宋_GB2312"/>
          <w:color w:val="000000" w:themeColor="text1"/>
          <w:sz w:val="32"/>
          <w:szCs w:val="32"/>
          <w14:textFill>
            <w14:solidFill>
              <w14:schemeClr w14:val="tx1"/>
            </w14:solidFill>
          </w14:textFill>
        </w:rPr>
        <w:t>项：“（八）擅自动用政策性粮食”。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擅自动用政策性粮食，违法涉案粮食货值金额1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的，责令改正，给予警告，没收违法所得，并处50万元以上1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擅自动用政策性粮食，违法涉案粮食货值金额1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万元以上200万元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的，责令改正，给予警告，没收违法所得，并处1</w:t>
      </w:r>
      <w:r>
        <w:rPr>
          <w:rFonts w:hint="eastAsia" w:ascii="仿宋_GB2312" w:hAnsi="仿宋_GB2312" w:eastAsia="仿宋_GB2312" w:cs="仿宋_GB2312"/>
          <w:color w:val="000000" w:themeColor="text1"/>
          <w:sz w:val="32"/>
          <w:szCs w:val="32"/>
          <w14:textFill>
            <w14:solidFill>
              <w14:schemeClr w14:val="tx1"/>
            </w14:solidFill>
          </w14:textFill>
        </w:rPr>
        <w:t>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ascii="仿宋_GB2312" w:hAnsi="仿宋_GB2312" w:eastAsia="仿宋_GB2312" w:cs="仿宋_GB2312"/>
          <w:color w:val="000000" w:themeColor="text1"/>
          <w:sz w:val="32"/>
          <w:szCs w:val="32"/>
          <w14:textFill>
            <w14:solidFill>
              <w14:schemeClr w14:val="tx1"/>
            </w14:solidFill>
          </w14:textFill>
        </w:rPr>
        <w:t>200万元以下罚款。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擅自动用政策性粮食，违法涉案粮食货值金额200万元以上3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w:t>
      </w:r>
      <w:r>
        <w:rPr>
          <w:rFonts w:hint="eastAsia" w:ascii="仿宋_GB2312" w:hAnsi="仿宋_GB2312" w:eastAsia="仿宋_GB2312" w:cs="仿宋_GB2312"/>
          <w:color w:val="000000" w:themeColor="text1"/>
          <w:sz w:val="32"/>
          <w:szCs w:val="32"/>
          <w14:textFill>
            <w14:solidFill>
              <w14:schemeClr w14:val="tx1"/>
            </w14:solidFill>
          </w14:textFill>
        </w:rPr>
        <w:t>以下</w:t>
      </w:r>
      <w:r>
        <w:rPr>
          <w:rFonts w:ascii="仿宋_GB2312" w:hAnsi="仿宋_GB2312" w:eastAsia="仿宋_GB2312" w:cs="仿宋_GB2312"/>
          <w:color w:val="000000" w:themeColor="text1"/>
          <w:sz w:val="32"/>
          <w:szCs w:val="32"/>
          <w14:textFill>
            <w14:solidFill>
              <w14:schemeClr w14:val="tx1"/>
            </w14:solidFill>
          </w14:textFill>
        </w:rPr>
        <w:t>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200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以上300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擅自动用政策性粮食，违法涉案粮食货值金额3</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themeColor="text1"/>
          <w:sz w:val="32"/>
          <w:szCs w:val="32"/>
          <w14:textFill>
            <w14:solidFill>
              <w14:schemeClr w14:val="tx1"/>
            </w14:solidFill>
          </w14:textFill>
        </w:rPr>
        <w:t>0万元以上的，责令改正，给予警告，没收违法所得，并处</w:t>
      </w:r>
      <w:r>
        <w:rPr>
          <w:rFonts w:hint="eastAsia" w:ascii="仿宋_GB2312" w:hAnsi="仿宋_GB2312" w:eastAsia="仿宋_GB2312" w:cs="仿宋_GB2312"/>
          <w:color w:val="000000" w:themeColor="text1"/>
          <w:sz w:val="32"/>
          <w:szCs w:val="32"/>
          <w14:textFill>
            <w14:solidFill>
              <w14:schemeClr w14:val="tx1"/>
            </w14:solidFill>
          </w14:textFill>
        </w:rPr>
        <w:t>300</w:t>
      </w:r>
      <w:r>
        <w:rPr>
          <w:rFonts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以上500</w:t>
      </w:r>
      <w:r>
        <w:rPr>
          <w:rFonts w:ascii="仿宋_GB2312" w:hAnsi="仿宋_GB2312" w:eastAsia="仿宋_GB2312" w:cs="仿宋_GB2312"/>
          <w:color w:val="000000" w:themeColor="text1"/>
          <w:sz w:val="32"/>
          <w:szCs w:val="32"/>
          <w14:textFill>
            <w14:solidFill>
              <w14:schemeClr w14:val="tx1"/>
            </w14:solidFill>
          </w14:textFill>
        </w:rPr>
        <w:t>万元以下罚款。对其法定代表人、主要负责人、直接负责的主管人员和其他直接责任人员处以其上一年度从本企业取得收入的</w:t>
      </w:r>
      <w:r>
        <w:rPr>
          <w:rFonts w:hint="eastAsia" w:ascii="仿宋_GB2312" w:hAnsi="仿宋_GB2312" w:eastAsia="仿宋_GB2312" w:cs="仿宋_GB2312"/>
          <w:color w:val="000000" w:themeColor="text1"/>
          <w:sz w:val="32"/>
          <w:szCs w:val="32"/>
          <w14:textFill>
            <w14:solidFill>
              <w14:schemeClr w14:val="tx1"/>
            </w14:solidFill>
          </w14:textFill>
        </w:rPr>
        <w:t>5</w:t>
      </w:r>
      <w:r>
        <w:rPr>
          <w:rFonts w:ascii="仿宋_GB2312" w:hAnsi="仿宋_GB2312" w:eastAsia="仿宋_GB2312" w:cs="仿宋_GB2312"/>
          <w:color w:val="000000" w:themeColor="text1"/>
          <w:sz w:val="32"/>
          <w:szCs w:val="32"/>
          <w14:textFill>
            <w14:solidFill>
              <w14:schemeClr w14:val="tx1"/>
            </w14:solidFill>
          </w14:textFill>
        </w:rPr>
        <w:t>倍以上</w:t>
      </w:r>
      <w:r>
        <w:rPr>
          <w:rFonts w:hint="eastAsia" w:ascii="仿宋_GB2312" w:hAnsi="仿宋_GB2312" w:eastAsia="仿宋_GB2312" w:cs="仿宋_GB2312"/>
          <w:color w:val="000000" w:themeColor="text1"/>
          <w:sz w:val="32"/>
          <w:szCs w:val="32"/>
          <w14:textFill>
            <w14:solidFill>
              <w14:schemeClr w14:val="tx1"/>
            </w14:solidFill>
          </w14:textFill>
        </w:rPr>
        <w:t>10</w:t>
      </w:r>
      <w:r>
        <w:rPr>
          <w:rFonts w:ascii="仿宋_GB2312" w:hAnsi="仿宋_GB2312" w:eastAsia="仿宋_GB2312" w:cs="仿宋_GB2312"/>
          <w:color w:val="000000" w:themeColor="text1"/>
          <w:sz w:val="32"/>
          <w:szCs w:val="32"/>
          <w14:textFill>
            <w14:solidFill>
              <w14:schemeClr w14:val="tx1"/>
            </w14:solidFill>
          </w14:textFill>
        </w:rPr>
        <w:t>倍以下罚款。</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第二十一部分  其他违反国家政策性粮食经营管理规定的行为</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项：“（九）其他违反国家政策性粮食经营管理规定的行为”。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其他违反国家政策性粮食经营管理规定的行为</w:t>
      </w:r>
      <w:r>
        <w:rPr>
          <w:rFonts w:hint="eastAsia" w:ascii="仿宋_GB2312" w:hAnsi="仿宋_GB2312" w:eastAsia="仿宋_GB2312" w:cs="仿宋_GB2312"/>
          <w:color w:val="000000" w:themeColor="text1"/>
          <w:sz w:val="32"/>
          <w:szCs w:val="32"/>
          <w14:textFill>
            <w14:solidFill>
              <w14:schemeClr w14:val="tx1"/>
            </w14:solidFill>
          </w14:textFill>
        </w:rPr>
        <w:t>，不再另设</w:t>
      </w:r>
      <w:r>
        <w:rPr>
          <w:rFonts w:ascii="仿宋_GB2312" w:hAnsi="仿宋_GB2312" w:eastAsia="仿宋_GB2312" w:cs="仿宋_GB2312"/>
          <w:color w:val="000000" w:themeColor="text1"/>
          <w:sz w:val="32"/>
          <w:szCs w:val="32"/>
          <w14:textFill>
            <w14:solidFill>
              <w14:schemeClr w14:val="tx1"/>
            </w14:solidFill>
          </w14:textFill>
        </w:rPr>
        <w:t>行政处罚自由裁量阶次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28" w:firstLineChars="200"/>
        <w:jc w:val="lef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第二十二部分  粮食应急预案启动后，不按照国家要求</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承担应急任务，不服从国家的统一安排和调度</w:t>
      </w:r>
    </w:p>
    <w:p>
      <w:pPr>
        <w:spacing w:line="560" w:lineRule="exact"/>
        <w:jc w:val="center"/>
        <w:rPr>
          <w:rFonts w:ascii="方正黑体_GBK" w:hAnsi="方正黑体_GBK" w:eastAsia="方正黑体_GBK" w:cs="方正黑体_GBK"/>
          <w:color w:val="000000" w:themeColor="text1"/>
          <w:sz w:val="32"/>
          <w:szCs w:val="32"/>
          <w14:textFill>
            <w14:solidFill>
              <w14:schemeClr w14:val="tx1"/>
            </w14:solidFill>
          </w14:textFill>
        </w:rPr>
      </w:pP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《粮食流通管理条例》第四十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条：“从事政策性粮食经营活动，有下列情形之一的，由粮食和储备行政管理部门责令改正，给予警告，没收违法所得，并处50万元以上200万元以下罚款；情节严重的，并处200万元以上500万元以下罚款”；第四十</w:t>
      </w:r>
      <w:r>
        <w:rPr>
          <w:rFonts w:hint="eastAsia" w:ascii="仿宋_GB2312" w:hAnsi="仿宋_GB2312" w:eastAsia="仿宋_GB2312" w:cs="仿宋_GB2312"/>
          <w:color w:val="000000" w:themeColor="text1"/>
          <w:sz w:val="32"/>
          <w:szCs w:val="32"/>
          <w14:textFill>
            <w14:solidFill>
              <w14:schemeClr w14:val="tx1"/>
            </w14:solidFill>
          </w14:textFill>
        </w:rPr>
        <w:t>九</w:t>
      </w:r>
      <w:r>
        <w:rPr>
          <w:rFonts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14:textFill>
            <w14:solidFill>
              <w14:schemeClr w14:val="tx1"/>
            </w14:solidFill>
          </w14:textFill>
        </w:rPr>
        <w:t>二款</w:t>
      </w:r>
      <w:r>
        <w:rPr>
          <w:rFonts w:ascii="仿宋_GB2312" w:hAnsi="仿宋_GB2312" w:eastAsia="仿宋_GB2312" w:cs="仿宋_GB2312"/>
          <w:color w:val="000000" w:themeColor="text1"/>
          <w:sz w:val="32"/>
          <w:szCs w:val="32"/>
          <w14:textFill>
            <w14:solidFill>
              <w14:schemeClr w14:val="tx1"/>
            </w14:solidFill>
          </w14:textFill>
        </w:rPr>
        <w:t>：“粮食应急预案启动后，不按照国家要求承担应急任务，不服从国家的统一安排和调度的，依照前款规定予以处罚”。第五十一条：“从事粮食经营活动的企业有违反本条例规定的违法情形且情节严重的，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行政处罚自由裁量阶次：</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sz w:val="32"/>
          <w:szCs w:val="32"/>
        </w:rPr>
        <w:t xml:space="preserve"> 粮食应急预案启动后，</w:t>
      </w:r>
      <w:r>
        <w:rPr>
          <w:rFonts w:ascii="仿宋_GB2312" w:hAnsi="仿宋_GB2312" w:eastAsia="仿宋_GB2312" w:cs="仿宋_GB2312"/>
          <w:color w:val="000000" w:themeColor="text1"/>
          <w:sz w:val="32"/>
          <w:szCs w:val="32"/>
          <w14:textFill>
            <w14:solidFill>
              <w14:schemeClr w14:val="tx1"/>
            </w14:solidFill>
          </w14:textFill>
        </w:rPr>
        <w:t>不按照国家要求承担应急任务，不服从国家的统一安排和调度，未造成严重社会影响或</w:t>
      </w:r>
      <w:r>
        <w:rPr>
          <w:rFonts w:hint="eastAsia" w:ascii="仿宋_GB2312" w:hAnsi="仿宋_GB2312" w:eastAsia="仿宋_GB2312" w:cs="仿宋_GB2312"/>
          <w:color w:val="000000" w:themeColor="text1"/>
          <w:sz w:val="32"/>
          <w:szCs w:val="32"/>
          <w14:textFill>
            <w14:solidFill>
              <w14:schemeClr w14:val="tx1"/>
            </w14:solidFill>
          </w14:textFill>
        </w:rPr>
        <w:t>未</w:t>
      </w:r>
      <w:r>
        <w:rPr>
          <w:rFonts w:ascii="仿宋_GB2312" w:hAnsi="仿宋_GB2312" w:eastAsia="仿宋_GB2312" w:cs="仿宋_GB2312"/>
          <w:color w:val="000000" w:themeColor="text1"/>
          <w:sz w:val="32"/>
          <w:szCs w:val="32"/>
          <w14:textFill>
            <w14:solidFill>
              <w14:schemeClr w14:val="tx1"/>
            </w14:solidFill>
          </w14:textFill>
        </w:rPr>
        <w:t>产生危害后果的，责令改正，给予警告，没收违法所得，并处50万元以上200万元以下罚款。对</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sz w:val="32"/>
          <w:szCs w:val="32"/>
        </w:rPr>
        <w:t xml:space="preserve"> 粮食应急预案启动后，</w:t>
      </w:r>
      <w:r>
        <w:rPr>
          <w:rFonts w:hint="eastAsia" w:ascii="仿宋_GB2312" w:hAnsi="仿宋_GB2312" w:eastAsia="仿宋_GB2312" w:cs="仿宋_GB2312"/>
          <w:sz w:val="32"/>
          <w:szCs w:val="32"/>
        </w:rPr>
        <w:t>不</w:t>
      </w:r>
      <w:r>
        <w:rPr>
          <w:rFonts w:ascii="仿宋_GB2312" w:hAnsi="仿宋_GB2312" w:eastAsia="仿宋_GB2312" w:cs="仿宋_GB2312"/>
          <w:color w:val="000000" w:themeColor="text1"/>
          <w:sz w:val="32"/>
          <w:szCs w:val="32"/>
          <w14:textFill>
            <w14:solidFill>
              <w14:schemeClr w14:val="tx1"/>
            </w14:solidFill>
          </w14:textFill>
        </w:rPr>
        <w:t>按照国家要求承担应急任务，不服从国家的统一安排和调度，造成严重社会影响或</w:t>
      </w:r>
      <w:r>
        <w:rPr>
          <w:rFonts w:hint="eastAsia" w:ascii="仿宋_GB2312" w:hAnsi="仿宋_GB2312" w:eastAsia="仿宋_GB2312" w:cs="仿宋_GB2312"/>
          <w:color w:val="000000" w:themeColor="text1"/>
          <w:sz w:val="32"/>
          <w:szCs w:val="32"/>
          <w14:textFill>
            <w14:solidFill>
              <w14:schemeClr w14:val="tx1"/>
            </w14:solidFill>
          </w14:textFill>
        </w:rPr>
        <w:t>产生</w:t>
      </w:r>
      <w:r>
        <w:rPr>
          <w:rFonts w:ascii="仿宋_GB2312" w:hAnsi="仿宋_GB2312" w:eastAsia="仿宋_GB2312" w:cs="仿宋_GB2312"/>
          <w:color w:val="000000" w:themeColor="text1"/>
          <w:sz w:val="32"/>
          <w:szCs w:val="32"/>
          <w14:textFill>
            <w14:solidFill>
              <w14:schemeClr w14:val="tx1"/>
            </w14:solidFill>
          </w14:textFill>
        </w:rPr>
        <w:t>危害后果的，责令改正，给予警告，没收违法所得，并处200万元以上500万元以下罚款。对其法定代表人、主要负责人、直接负责的主管人员和其他直接责任人员处以其上一年度从本企业取得收入的1倍以上10倍以下罚款。</w:t>
      </w:r>
    </w:p>
    <w:p>
      <w:pPr>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p>
    <w:p>
      <w:pPr>
        <w:autoSpaceDN w:val="0"/>
        <w:adjustRightInd w:val="0"/>
        <w:spacing w:line="560" w:lineRule="exact"/>
        <w:ind w:firstLine="628" w:firstLineChars="200"/>
        <w:rPr>
          <w:rFonts w:eastAsia="仿宋_GB2312"/>
          <w:color w:val="000000" w:themeColor="text1"/>
          <w:szCs w:val="2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备注：</w:t>
      </w:r>
      <w:r>
        <w:rPr>
          <w:rFonts w:hint="eastAsia" w:ascii="仿宋_GB2312" w:hAnsi="仿宋_GB2312" w:eastAsia="仿宋_GB2312" w:cs="仿宋_GB2312"/>
          <w:color w:val="000000" w:themeColor="text1"/>
          <w:sz w:val="32"/>
          <w:szCs w:val="32"/>
          <w14:textFill>
            <w14:solidFill>
              <w14:schemeClr w14:val="tx1"/>
            </w14:solidFill>
          </w14:textFill>
        </w:rPr>
        <w:t>本执行标准中涉及“以上”的含本数，“以下”的不含本数。涉及粮食价值的，已达成交易的按交易价计算，其他的按库存成本价计算。</w:t>
      </w:r>
    </w:p>
    <w:p>
      <w:pPr>
        <w:spacing w:line="560" w:lineRule="exact"/>
        <w:rPr>
          <w:color w:val="000000" w:themeColor="text1"/>
          <w14:textFill>
            <w14:solidFill>
              <w14:schemeClr w14:val="tx1"/>
            </w14:solidFill>
          </w14:textFill>
        </w:rPr>
      </w:pPr>
    </w:p>
    <w:sectPr>
      <w:footerReference r:id="rId3" w:type="default"/>
      <w:footerReference r:id="rId4" w:type="even"/>
      <w:pgSz w:w="11906" w:h="16838"/>
      <w:pgMar w:top="2098" w:right="1588" w:bottom="1701" w:left="1588" w:header="851" w:footer="1389" w:gutter="0"/>
      <w:cols w:space="720" w:num="1"/>
      <w:docGrid w:type="linesAndChars" w:linePitch="543"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4718050</wp:posOffset>
              </wp:positionH>
              <wp:positionV relativeFrom="paragraph">
                <wp:posOffset>-28575</wp:posOffset>
              </wp:positionV>
              <wp:extent cx="825500" cy="286385"/>
              <wp:effectExtent l="3175"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825500" cy="28638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71.5pt;margin-top:-2.25pt;height:22.55pt;width:65pt;mso-position-horizontal-relative:margin;z-index:251659264;mso-width-relative:page;mso-height-relative:page;" filled="f" stroked="f" coordsize="21600,21600" o:gfxdata="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1qG3tgAAAAJAQAADwAAAAAAAAABACAAAAAi&#10;AAAAZHJzL2Rvd25yZXYueG1sUEsBAhQAFAAAAAgAh07iQPd3bwMKAgAABAQAAA4AAAAAAAAAAQAg&#10;AAAAJwEAAGRycy9lMm9Eb2MueG1sUEsFBgAAAAAGAAYAWQEAAKMFAAAAAA==&#10;">
              <v:fill on="f" focussize="0,0"/>
              <v:stroke on="f"/>
              <v:imagedata o:title=""/>
              <o:lock v:ext="edit" aspectratio="f"/>
              <v:textbox inset="0mm,0mm,0mm,0mm">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posOffset>169545</wp:posOffset>
              </wp:positionH>
              <wp:positionV relativeFrom="paragraph">
                <wp:posOffset>-28575</wp:posOffset>
              </wp:positionV>
              <wp:extent cx="797560" cy="286385"/>
              <wp:effectExtent l="0" t="0" r="444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97560" cy="28638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3.35pt;margin-top:-2.25pt;height:22.55pt;width:62.8pt;mso-position-horizontal-relative:margin;z-index:251660288;mso-width-relative:page;mso-height-relative:page;" filled="f" stroked="f" coordsize="21600,21600" o:gfxdata="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QoYuNgAAAAIAQAADwAAAAAAAAABACAA&#10;AAAiAAAAZHJzL2Rvd25yZXYueG1sUEsBAhQAFAAAAAgAh07iQJmCUKsNAgAABAQAAA4AAAAAAAAA&#10;AQAgAAAAJwEAAGRycy9lMm9Eb2MueG1sUEsFBgAAAAAGAAYAWQEAAKYFAAAAAA==&#10;">
              <v:fill on="f" focussize="0,0"/>
              <v:stroke on="f"/>
              <v:imagedata o:title=""/>
              <o:lock v:ext="edit" aspectratio="f"/>
              <v:textbox inset="0mm,0mm,0mm,0mm">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yNGYwYmU0OTgzOWE2NzU0ZGZjYmRjNjRjZjRhMWIifQ=="/>
  </w:docVars>
  <w:rsids>
    <w:rsidRoot w:val="000828F7"/>
    <w:rsid w:val="00021E49"/>
    <w:rsid w:val="00032766"/>
    <w:rsid w:val="000617CF"/>
    <w:rsid w:val="000828F7"/>
    <w:rsid w:val="00096A75"/>
    <w:rsid w:val="000A3A5C"/>
    <w:rsid w:val="000A5AA3"/>
    <w:rsid w:val="000C0769"/>
    <w:rsid w:val="000C214D"/>
    <w:rsid w:val="000E05CA"/>
    <w:rsid w:val="001C448D"/>
    <w:rsid w:val="002A33FC"/>
    <w:rsid w:val="003347B6"/>
    <w:rsid w:val="003D3CDD"/>
    <w:rsid w:val="003F4AD8"/>
    <w:rsid w:val="00400E5E"/>
    <w:rsid w:val="00480B7E"/>
    <w:rsid w:val="00497D6F"/>
    <w:rsid w:val="005873C0"/>
    <w:rsid w:val="005A0A68"/>
    <w:rsid w:val="005D3F9F"/>
    <w:rsid w:val="006F4504"/>
    <w:rsid w:val="006F5639"/>
    <w:rsid w:val="007029D5"/>
    <w:rsid w:val="00713036"/>
    <w:rsid w:val="007A6A49"/>
    <w:rsid w:val="007C6A5D"/>
    <w:rsid w:val="00804F6D"/>
    <w:rsid w:val="00835999"/>
    <w:rsid w:val="008E41AA"/>
    <w:rsid w:val="008F6424"/>
    <w:rsid w:val="009E0C2F"/>
    <w:rsid w:val="00A24F81"/>
    <w:rsid w:val="00B71A24"/>
    <w:rsid w:val="00B73269"/>
    <w:rsid w:val="00B958E3"/>
    <w:rsid w:val="00BE2FD5"/>
    <w:rsid w:val="00BE58EC"/>
    <w:rsid w:val="00C0435F"/>
    <w:rsid w:val="00C44ABE"/>
    <w:rsid w:val="00C56777"/>
    <w:rsid w:val="00CD114D"/>
    <w:rsid w:val="00CF55FC"/>
    <w:rsid w:val="00D062E7"/>
    <w:rsid w:val="00D37B32"/>
    <w:rsid w:val="00D97ECD"/>
    <w:rsid w:val="00DB77AC"/>
    <w:rsid w:val="00DC4FB1"/>
    <w:rsid w:val="00EC1D35"/>
    <w:rsid w:val="00F23548"/>
    <w:rsid w:val="00F41A06"/>
    <w:rsid w:val="00F92953"/>
    <w:rsid w:val="00F97B85"/>
    <w:rsid w:val="11665CE5"/>
    <w:rsid w:val="167A2FFE"/>
    <w:rsid w:val="194961AB"/>
    <w:rsid w:val="1CA55130"/>
    <w:rsid w:val="214B2529"/>
    <w:rsid w:val="48DF1625"/>
    <w:rsid w:val="4B6E15FC"/>
    <w:rsid w:val="4F8A0C1C"/>
    <w:rsid w:val="52A42F98"/>
    <w:rsid w:val="5D526412"/>
    <w:rsid w:val="62E23E55"/>
    <w:rsid w:val="71A30B93"/>
    <w:rsid w:val="760E1BCE"/>
    <w:rsid w:val="7C21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27"/>
    <w:semiHidden/>
    <w:unhideWhenUsed/>
    <w:uiPriority w:val="99"/>
    <w:rPr>
      <w:sz w:val="18"/>
      <w:szCs w:val="18"/>
    </w:rPr>
  </w:style>
  <w:style w:type="paragraph" w:styleId="5">
    <w:name w:val="footer"/>
    <w:basedOn w:val="1"/>
    <w:link w:val="26"/>
    <w:unhideWhenUsed/>
    <w:qFormat/>
    <w:uiPriority w:val="0"/>
    <w:pPr>
      <w:tabs>
        <w:tab w:val="center" w:pos="4153"/>
        <w:tab w:val="right" w:pos="8306"/>
      </w:tabs>
      <w:snapToGrid w:val="0"/>
      <w:jc w:val="left"/>
    </w:pPr>
    <w:rPr>
      <w:sz w:val="18"/>
      <w:szCs w:val="18"/>
    </w:rPr>
  </w:style>
  <w:style w:type="paragraph" w:styleId="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1 字符"/>
    <w:basedOn w:val="9"/>
    <w:link w:val="2"/>
    <w:qFormat/>
    <w:uiPriority w:val="9"/>
    <w:rPr>
      <w:b/>
      <w:bCs/>
      <w:kern w:val="44"/>
      <w:sz w:val="44"/>
      <w:szCs w:val="44"/>
    </w:rPr>
  </w:style>
  <w:style w:type="character" w:customStyle="1" w:styleId="11">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2">
    <w:name w:val="公文标题"/>
    <w:basedOn w:val="7"/>
    <w:next w:val="7"/>
    <w:link w:val="13"/>
    <w:qFormat/>
    <w:uiPriority w:val="0"/>
    <w:pPr>
      <w:spacing w:before="0" w:after="0" w:line="560" w:lineRule="exact"/>
    </w:pPr>
    <w:rPr>
      <w:rFonts w:ascii="宋体" w:hAnsi="宋体" w:eastAsia="方正小标宋简体" w:cs="方正小标宋简体"/>
      <w:b w:val="0"/>
      <w:sz w:val="44"/>
      <w:szCs w:val="44"/>
    </w:rPr>
  </w:style>
  <w:style w:type="character" w:customStyle="1" w:styleId="13">
    <w:name w:val="公文标题 字符"/>
    <w:link w:val="12"/>
    <w:qFormat/>
    <w:uiPriority w:val="0"/>
    <w:rPr>
      <w:rFonts w:ascii="宋体" w:hAnsi="宋体" w:eastAsia="方正小标宋简体" w:cs="方正小标宋简体"/>
      <w:bCs/>
      <w:sz w:val="44"/>
      <w:szCs w:val="44"/>
    </w:rPr>
  </w:style>
  <w:style w:type="character" w:customStyle="1" w:styleId="14">
    <w:name w:val="标题 字符"/>
    <w:basedOn w:val="9"/>
    <w:link w:val="7"/>
    <w:qFormat/>
    <w:uiPriority w:val="10"/>
    <w:rPr>
      <w:rFonts w:asciiTheme="majorHAnsi" w:hAnsiTheme="majorHAnsi" w:eastAsiaTheme="majorEastAsia" w:cstheme="majorBidi"/>
      <w:b/>
      <w:bCs/>
      <w:sz w:val="32"/>
      <w:szCs w:val="32"/>
    </w:rPr>
  </w:style>
  <w:style w:type="paragraph" w:customStyle="1" w:styleId="15">
    <w:name w:val="一级标题"/>
    <w:basedOn w:val="2"/>
    <w:next w:val="2"/>
    <w:link w:val="16"/>
    <w:qFormat/>
    <w:uiPriority w:val="0"/>
    <w:pPr>
      <w:spacing w:before="0" w:after="0" w:line="560" w:lineRule="exact"/>
      <w:ind w:firstLine="200" w:firstLineChars="200"/>
      <w:jc w:val="left"/>
    </w:pPr>
    <w:rPr>
      <w:rFonts w:ascii="宋体" w:hAnsi="宋体" w:eastAsia="黑体"/>
      <w:b w:val="0"/>
      <w:sz w:val="32"/>
    </w:rPr>
  </w:style>
  <w:style w:type="character" w:customStyle="1" w:styleId="16">
    <w:name w:val="一级标题 字符"/>
    <w:basedOn w:val="10"/>
    <w:link w:val="15"/>
    <w:qFormat/>
    <w:uiPriority w:val="0"/>
    <w:rPr>
      <w:rFonts w:ascii="宋体" w:hAnsi="宋体" w:eastAsia="黑体"/>
      <w:b w:val="0"/>
      <w:kern w:val="44"/>
      <w:sz w:val="32"/>
      <w:szCs w:val="44"/>
    </w:rPr>
  </w:style>
  <w:style w:type="paragraph" w:customStyle="1" w:styleId="17">
    <w:name w:val="二级把标题"/>
    <w:basedOn w:val="3"/>
    <w:next w:val="3"/>
    <w:link w:val="18"/>
    <w:qFormat/>
    <w:uiPriority w:val="0"/>
    <w:pPr>
      <w:spacing w:before="0" w:after="0" w:line="560" w:lineRule="exact"/>
      <w:ind w:firstLine="200" w:firstLineChars="200"/>
      <w:jc w:val="left"/>
    </w:pPr>
    <w:rPr>
      <w:rFonts w:ascii="宋体" w:hAnsi="宋体" w:eastAsia="楷体_GB2312"/>
      <w:b w:val="0"/>
    </w:rPr>
  </w:style>
  <w:style w:type="character" w:customStyle="1" w:styleId="18">
    <w:name w:val="二级把标题 字符"/>
    <w:basedOn w:val="11"/>
    <w:link w:val="17"/>
    <w:qFormat/>
    <w:uiPriority w:val="0"/>
    <w:rPr>
      <w:rFonts w:ascii="宋体" w:hAnsi="宋体" w:eastAsia="楷体_GB2312" w:cstheme="majorBidi"/>
      <w:b w:val="0"/>
      <w:sz w:val="32"/>
      <w:szCs w:val="32"/>
    </w:rPr>
  </w:style>
  <w:style w:type="paragraph" w:customStyle="1" w:styleId="19">
    <w:name w:val="公文二级把标题"/>
    <w:basedOn w:val="3"/>
    <w:next w:val="3"/>
    <w:link w:val="20"/>
    <w:qFormat/>
    <w:uiPriority w:val="0"/>
    <w:pPr>
      <w:spacing w:before="0" w:after="0" w:line="560" w:lineRule="exact"/>
      <w:ind w:firstLine="200" w:firstLineChars="200"/>
      <w:jc w:val="left"/>
    </w:pPr>
    <w:rPr>
      <w:rFonts w:ascii="宋体" w:hAnsi="宋体" w:eastAsia="楷体_GB2312"/>
      <w:b w:val="0"/>
    </w:rPr>
  </w:style>
  <w:style w:type="character" w:customStyle="1" w:styleId="20">
    <w:name w:val="公文二级把标题 字符"/>
    <w:basedOn w:val="11"/>
    <w:link w:val="19"/>
    <w:qFormat/>
    <w:uiPriority w:val="0"/>
    <w:rPr>
      <w:rFonts w:ascii="宋体" w:hAnsi="宋体" w:eastAsia="楷体_GB2312" w:cstheme="majorBidi"/>
      <w:b w:val="0"/>
      <w:sz w:val="32"/>
      <w:szCs w:val="32"/>
    </w:rPr>
  </w:style>
  <w:style w:type="paragraph" w:customStyle="1" w:styleId="21">
    <w:name w:val="公文正文"/>
    <w:basedOn w:val="1"/>
    <w:next w:val="1"/>
    <w:link w:val="22"/>
    <w:qFormat/>
    <w:uiPriority w:val="0"/>
    <w:pPr>
      <w:spacing w:line="560" w:lineRule="exact"/>
      <w:ind w:firstLine="200" w:firstLineChars="200"/>
    </w:pPr>
    <w:rPr>
      <w:rFonts w:ascii="宋体" w:hAnsi="宋体" w:eastAsia="仿宋_GB2312" w:cs="仿宋_GB2312"/>
      <w:sz w:val="32"/>
      <w:szCs w:val="32"/>
    </w:rPr>
  </w:style>
  <w:style w:type="character" w:customStyle="1" w:styleId="22">
    <w:name w:val="公文正文 字符"/>
    <w:link w:val="21"/>
    <w:qFormat/>
    <w:uiPriority w:val="0"/>
    <w:rPr>
      <w:rFonts w:ascii="宋体" w:hAnsi="宋体" w:eastAsia="仿宋_GB2312" w:cs="仿宋_GB2312"/>
      <w:sz w:val="32"/>
      <w:szCs w:val="32"/>
    </w:rPr>
  </w:style>
  <w:style w:type="paragraph" w:customStyle="1" w:styleId="23">
    <w:name w:val="公文一级标题"/>
    <w:basedOn w:val="2"/>
    <w:next w:val="2"/>
    <w:link w:val="24"/>
    <w:qFormat/>
    <w:uiPriority w:val="0"/>
    <w:pPr>
      <w:spacing w:before="0" w:after="0" w:line="560" w:lineRule="exact"/>
      <w:ind w:firstLine="200" w:firstLineChars="200"/>
      <w:jc w:val="left"/>
    </w:pPr>
    <w:rPr>
      <w:rFonts w:ascii="宋体" w:hAnsi="宋体" w:eastAsia="黑体"/>
      <w:b w:val="0"/>
      <w:sz w:val="32"/>
    </w:rPr>
  </w:style>
  <w:style w:type="character" w:customStyle="1" w:styleId="24">
    <w:name w:val="公文一级标题 字符"/>
    <w:link w:val="23"/>
    <w:qFormat/>
    <w:uiPriority w:val="0"/>
    <w:rPr>
      <w:rFonts w:ascii="宋体" w:hAnsi="宋体" w:eastAsia="黑体"/>
      <w:bCs/>
      <w:kern w:val="44"/>
      <w:sz w:val="32"/>
      <w:szCs w:val="44"/>
    </w:rPr>
  </w:style>
  <w:style w:type="character" w:customStyle="1" w:styleId="25">
    <w:name w:val="页眉 字符"/>
    <w:basedOn w:val="9"/>
    <w:link w:val="6"/>
    <w:qFormat/>
    <w:uiPriority w:val="99"/>
    <w:rPr>
      <w:rFonts w:ascii="Calibri" w:hAnsi="Calibri"/>
      <w:sz w:val="18"/>
      <w:szCs w:val="18"/>
    </w:rPr>
  </w:style>
  <w:style w:type="character" w:customStyle="1" w:styleId="26">
    <w:name w:val="页脚 字符"/>
    <w:basedOn w:val="9"/>
    <w:link w:val="5"/>
    <w:qFormat/>
    <w:uiPriority w:val="0"/>
    <w:rPr>
      <w:rFonts w:ascii="Calibri" w:hAnsi="Calibri"/>
      <w:sz w:val="18"/>
      <w:szCs w:val="18"/>
    </w:rPr>
  </w:style>
  <w:style w:type="character" w:customStyle="1" w:styleId="27">
    <w:name w:val="批注框文本 字符"/>
    <w:basedOn w:val="9"/>
    <w:link w:val="4"/>
    <w:semiHidden/>
    <w:qFormat/>
    <w:uiPriority w:val="99"/>
    <w:rPr>
      <w:rFonts w:ascii="Calibri" w:hAnsi="Calibri"/>
      <w:kern w:val="2"/>
      <w:sz w:val="18"/>
      <w:szCs w:val="18"/>
    </w:rPr>
  </w:style>
  <w:style w:type="paragraph" w:styleId="2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14578</Words>
  <Characters>15169</Characters>
  <Lines>109</Lines>
  <Paragraphs>30</Paragraphs>
  <TotalTime>1</TotalTime>
  <ScaleCrop>false</ScaleCrop>
  <LinksUpToDate>false</LinksUpToDate>
  <CharactersWithSpaces>15230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2022-12-14T04:41:00Z</dcterms:created>
  <dc:creator>廖 杰</dc:creator>
  <cp:lastModifiedBy>王宏亮</cp:lastModifiedBy>
  <dcterms:modified xsi:type="dcterms:W3CDTF">2022-12-14T05:26:38Z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95886F2DFCFB4E908CED4F325D2D76EB</vt:lpwstr>
  </property>
</Properties>
</file>